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D5FAF6">
      <w:pPr>
        <w:spacing w:before="100" w:beforeAutospacing="1" w:after="100" w:afterAutospacing="1"/>
        <w:ind w:firstLine="2650" w:firstLineChars="600"/>
        <w:outlineLvl w:val="2"/>
        <w:rPr>
          <w:rFonts w:hint="eastAsia" w:ascii="仿宋" w:hAnsi="仿宋" w:eastAsia="仿宋" w:cs="仿宋"/>
          <w:b/>
          <w:bCs w:val="0"/>
          <w:kern w:val="0"/>
          <w:sz w:val="44"/>
          <w:szCs w:val="44"/>
        </w:rPr>
      </w:pPr>
      <w:r>
        <w:rPr>
          <w:rFonts w:hint="eastAsia" w:ascii="仿宋" w:hAnsi="仿宋" w:eastAsia="仿宋" w:cs="仿宋"/>
          <w:b/>
          <w:bCs w:val="0"/>
          <w:kern w:val="0"/>
          <w:sz w:val="44"/>
          <w:szCs w:val="44"/>
        </w:rPr>
        <w:t>房产租赁合同</w:t>
      </w:r>
    </w:p>
    <w:p w14:paraId="4AF6D4AB">
      <w:pPr>
        <w:spacing w:line="600" w:lineRule="atLeast"/>
        <w:rPr>
          <w:rFonts w:hint="eastAsia" w:ascii="仿宋" w:hAnsi="仿宋" w:eastAsia="仿宋" w:cs="仿宋"/>
          <w:kern w:val="0"/>
          <w:sz w:val="28"/>
          <w:szCs w:val="28"/>
          <w:lang w:val="en-US" w:eastAsia="zh-CN"/>
        </w:rPr>
      </w:pPr>
      <w:r>
        <w:rPr>
          <w:rFonts w:hint="eastAsia" w:ascii="仿宋" w:hAnsi="仿宋" w:eastAsia="仿宋" w:cs="仿宋"/>
          <w:kern w:val="0"/>
          <w:sz w:val="32"/>
          <w:szCs w:val="32"/>
        </w:rPr>
        <w:t xml:space="preserve">       </w:t>
      </w:r>
      <w:r>
        <w:rPr>
          <w:rFonts w:hint="eastAsia" w:ascii="仿宋" w:hAnsi="仿宋" w:eastAsia="仿宋" w:cs="仿宋"/>
          <w:kern w:val="0"/>
          <w:sz w:val="32"/>
          <w:szCs w:val="32"/>
          <w:lang w:val="en-US" w:eastAsia="zh-CN"/>
        </w:rPr>
        <w:t xml:space="preserve">                       </w:t>
      </w:r>
      <w:bookmarkStart w:id="0" w:name="_GoBack"/>
      <w:bookmarkEnd w:id="0"/>
      <w:r>
        <w:rPr>
          <w:rFonts w:hint="eastAsia" w:ascii="仿宋" w:hAnsi="仿宋" w:eastAsia="仿宋" w:cs="仿宋"/>
          <w:bCs/>
          <w:kern w:val="0"/>
          <w:sz w:val="28"/>
          <w:szCs w:val="28"/>
        </w:rPr>
        <w:t>合同编号</w:t>
      </w:r>
      <w:r>
        <w:rPr>
          <w:rFonts w:hint="eastAsia" w:ascii="仿宋" w:hAnsi="仿宋" w:eastAsia="仿宋" w:cs="仿宋"/>
          <w:bCs/>
          <w:kern w:val="0"/>
          <w:sz w:val="28"/>
          <w:szCs w:val="28"/>
          <w:lang w:eastAsia="zh-CN"/>
        </w:rPr>
        <w:t>：</w:t>
      </w:r>
      <w:r>
        <w:rPr>
          <w:rFonts w:hint="eastAsia" w:ascii="仿宋" w:hAnsi="仿宋" w:eastAsia="仿宋" w:cs="仿宋"/>
          <w:bCs/>
          <w:kern w:val="0"/>
          <w:sz w:val="28"/>
          <w:szCs w:val="28"/>
        </w:rPr>
        <w:t>JHGS-Z</w:t>
      </w:r>
      <w:r>
        <w:rPr>
          <w:rFonts w:hint="eastAsia" w:ascii="仿宋" w:hAnsi="仿宋" w:eastAsia="仿宋" w:cs="仿宋"/>
          <w:bCs/>
          <w:kern w:val="0"/>
          <w:sz w:val="28"/>
          <w:szCs w:val="28"/>
          <w:lang w:val="en-US" w:eastAsia="zh-CN"/>
        </w:rPr>
        <w:t>L</w:t>
      </w:r>
      <w:r>
        <w:rPr>
          <w:rFonts w:hint="eastAsia" w:ascii="仿宋" w:hAnsi="仿宋" w:eastAsia="仿宋" w:cs="仿宋"/>
          <w:bCs/>
          <w:kern w:val="0"/>
          <w:sz w:val="28"/>
          <w:szCs w:val="28"/>
        </w:rPr>
        <w:t>-202</w:t>
      </w:r>
      <w:r>
        <w:rPr>
          <w:rFonts w:hint="eastAsia" w:ascii="仿宋" w:hAnsi="仿宋" w:eastAsia="仿宋" w:cs="仿宋"/>
          <w:bCs/>
          <w:kern w:val="0"/>
          <w:sz w:val="28"/>
          <w:szCs w:val="28"/>
          <w:lang w:val="en-US" w:eastAsia="zh-CN"/>
        </w:rPr>
        <w:t>5</w:t>
      </w:r>
      <w:r>
        <w:rPr>
          <w:rFonts w:hint="eastAsia" w:ascii="仿宋" w:hAnsi="仿宋" w:eastAsia="仿宋" w:cs="仿宋"/>
          <w:bCs/>
          <w:kern w:val="0"/>
          <w:sz w:val="28"/>
          <w:szCs w:val="28"/>
        </w:rPr>
        <w:t>0</w:t>
      </w:r>
      <w:r>
        <w:rPr>
          <w:rFonts w:hint="eastAsia" w:ascii="仿宋" w:hAnsi="仿宋" w:eastAsia="仿宋" w:cs="仿宋"/>
          <w:bCs/>
          <w:kern w:val="0"/>
          <w:sz w:val="28"/>
          <w:szCs w:val="28"/>
          <w:lang w:val="en-US" w:eastAsia="zh-CN"/>
        </w:rPr>
        <w:t>***</w:t>
      </w:r>
      <w:r>
        <w:rPr>
          <w:rFonts w:hint="eastAsia" w:ascii="仿宋" w:hAnsi="仿宋" w:eastAsia="仿宋" w:cs="仿宋"/>
          <w:kern w:val="0"/>
          <w:sz w:val="32"/>
          <w:szCs w:val="32"/>
        </w:rPr>
        <w:t xml:space="preserve">                    </w:t>
      </w:r>
      <w:r>
        <w:rPr>
          <w:rFonts w:hint="eastAsia" w:ascii="仿宋" w:hAnsi="仿宋" w:eastAsia="仿宋" w:cs="仿宋"/>
          <w:kern w:val="0"/>
          <w:sz w:val="32"/>
          <w:szCs w:val="32"/>
          <w:lang w:val="en-US" w:eastAsia="zh-CN"/>
        </w:rPr>
        <w:t xml:space="preserve">        </w:t>
      </w:r>
    </w:p>
    <w:p w14:paraId="130D8DAD">
      <w:pPr>
        <w:spacing w:line="360" w:lineRule="auto"/>
        <w:rPr>
          <w:rFonts w:hint="default" w:ascii="仿宋" w:hAnsi="仿宋" w:eastAsia="仿宋" w:cs="仿宋"/>
          <w:color w:val="auto"/>
          <w:kern w:val="0"/>
          <w:sz w:val="32"/>
          <w:szCs w:val="32"/>
          <w:lang w:val="en-US" w:eastAsia="zh-CN"/>
        </w:rPr>
      </w:pPr>
      <w:r>
        <w:rPr>
          <w:rFonts w:hint="eastAsia" w:ascii="仿宋" w:hAnsi="仿宋" w:eastAsia="仿宋" w:cs="仿宋"/>
          <w:kern w:val="0"/>
          <w:sz w:val="30"/>
          <w:szCs w:val="30"/>
        </w:rPr>
        <w:t>甲方（出租方）：</w:t>
      </w:r>
      <w:r>
        <w:rPr>
          <w:rFonts w:hint="eastAsia" w:asciiTheme="minorEastAsia" w:hAnsiTheme="minorEastAsia" w:eastAsiaTheme="minorEastAsia" w:cstheme="minorEastAsia"/>
          <w:color w:val="auto"/>
          <w:sz w:val="28"/>
          <w:szCs w:val="28"/>
          <w:u w:val="single"/>
          <w:lang w:val="en-US" w:eastAsia="zh-CN"/>
        </w:rPr>
        <w:t xml:space="preserve">                            </w:t>
      </w:r>
      <w:r>
        <w:rPr>
          <w:rFonts w:hint="eastAsia" w:ascii="仿宋" w:hAnsi="仿宋" w:eastAsia="仿宋" w:cs="仿宋"/>
          <w:color w:val="auto"/>
          <w:kern w:val="0"/>
          <w:sz w:val="32"/>
          <w:szCs w:val="32"/>
          <w:u w:val="single"/>
          <w:lang w:val="en-US" w:eastAsia="zh-CN"/>
        </w:rPr>
        <w:t xml:space="preserve">        </w:t>
      </w:r>
    </w:p>
    <w:p w14:paraId="15409DE0">
      <w:pPr>
        <w:spacing w:line="600" w:lineRule="atLeast"/>
        <w:rPr>
          <w:rFonts w:hint="default" w:ascii="仿宋" w:hAnsi="仿宋" w:eastAsia="仿宋" w:cs="仿宋"/>
          <w:kern w:val="0"/>
          <w:sz w:val="30"/>
          <w:szCs w:val="30"/>
          <w:lang w:val="en-US" w:eastAsia="zh-CN"/>
        </w:rPr>
      </w:pPr>
      <w:r>
        <w:rPr>
          <w:rFonts w:hint="eastAsia" w:ascii="仿宋" w:hAnsi="仿宋" w:eastAsia="仿宋" w:cs="仿宋"/>
          <w:kern w:val="0"/>
          <w:sz w:val="30"/>
          <w:szCs w:val="30"/>
        </w:rPr>
        <w:t>乙方（承租方）：</w:t>
      </w:r>
      <w:r>
        <w:rPr>
          <w:rFonts w:hint="eastAsia" w:ascii="仿宋" w:hAnsi="仿宋" w:eastAsia="仿宋" w:cs="仿宋"/>
          <w:kern w:val="0"/>
          <w:sz w:val="30"/>
          <w:szCs w:val="30"/>
          <w:u w:val="single"/>
          <w:lang w:val="en-US" w:eastAsia="zh-CN"/>
        </w:rPr>
        <w:t xml:space="preserve">                                   </w:t>
      </w:r>
    </w:p>
    <w:p w14:paraId="40DA3CB0">
      <w:pPr>
        <w:spacing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第一条</w:t>
      </w:r>
      <w:r>
        <w:rPr>
          <w:rFonts w:hint="eastAsia" w:ascii="仿宋" w:hAnsi="仿宋" w:eastAsia="仿宋" w:cs="仿宋"/>
          <w:b/>
          <w:kern w:val="0"/>
          <w:sz w:val="32"/>
          <w:szCs w:val="32"/>
          <w:lang w:val="en-US" w:eastAsia="zh-CN"/>
        </w:rPr>
        <w:t xml:space="preserve"> </w:t>
      </w:r>
      <w:r>
        <w:rPr>
          <w:rFonts w:hint="eastAsia" w:ascii="仿宋" w:hAnsi="仿宋" w:eastAsia="仿宋" w:cs="仿宋"/>
          <w:b/>
          <w:kern w:val="0"/>
          <w:sz w:val="32"/>
          <w:szCs w:val="32"/>
        </w:rPr>
        <w:t>租赁标的物座落、面积</w:t>
      </w:r>
    </w:p>
    <w:p w14:paraId="36AAA2C5">
      <w:pPr>
        <w:spacing w:line="560" w:lineRule="exact"/>
        <w:ind w:firstLine="570"/>
        <w:jc w:val="left"/>
        <w:rPr>
          <w:rFonts w:ascii="仿宋_GB2312" w:eastAsia="仿宋_GB2312"/>
          <w:kern w:val="0"/>
          <w:sz w:val="32"/>
          <w:szCs w:val="32"/>
        </w:rPr>
      </w:pPr>
      <w:r>
        <w:rPr>
          <w:rFonts w:hint="eastAsia" w:ascii="仿宋_GB2312" w:eastAsia="仿宋_GB2312"/>
          <w:kern w:val="0"/>
          <w:sz w:val="32"/>
          <w:szCs w:val="32"/>
        </w:rPr>
        <w:t>甲方将拥有的位于</w:t>
      </w:r>
      <w:r>
        <w:rPr>
          <w:rFonts w:hint="eastAsia" w:ascii="仿宋_GB2312" w:eastAsia="仿宋_GB2312"/>
          <w:kern w:val="0"/>
          <w:sz w:val="32"/>
          <w:szCs w:val="32"/>
          <w:u w:val="single"/>
        </w:rPr>
        <w:t xml:space="preserve"> </w:t>
      </w:r>
      <w:r>
        <w:rPr>
          <w:rFonts w:hint="eastAsia" w:ascii="仿宋_GB2312" w:eastAsia="仿宋_GB2312"/>
          <w:kern w:val="0"/>
          <w:sz w:val="32"/>
          <w:szCs w:val="32"/>
          <w:u w:val="single"/>
          <w:lang w:val="en-US" w:eastAsia="zh-CN"/>
        </w:rPr>
        <w:t xml:space="preserve">          </w:t>
      </w:r>
      <w:r>
        <w:rPr>
          <w:rFonts w:hint="eastAsia" w:ascii="仿宋_GB2312" w:eastAsia="仿宋_GB2312"/>
          <w:kern w:val="0"/>
          <w:sz w:val="32"/>
          <w:szCs w:val="32"/>
          <w:u w:val="single"/>
        </w:rPr>
        <w:t xml:space="preserve"> </w:t>
      </w:r>
      <w:r>
        <w:rPr>
          <w:rFonts w:hint="eastAsia" w:ascii="仿宋_GB2312" w:eastAsia="仿宋_GB2312"/>
          <w:kern w:val="0"/>
          <w:sz w:val="32"/>
          <w:szCs w:val="32"/>
        </w:rPr>
        <w:t>，建筑面积</w:t>
      </w:r>
      <w:r>
        <w:rPr>
          <w:rFonts w:hint="eastAsia" w:ascii="仿宋_GB2312" w:eastAsia="仿宋_GB2312"/>
          <w:kern w:val="0"/>
          <w:sz w:val="32"/>
          <w:szCs w:val="32"/>
          <w:u w:val="single"/>
        </w:rPr>
        <w:t xml:space="preserve"> </w:t>
      </w:r>
      <w:r>
        <w:rPr>
          <w:rFonts w:hint="eastAsia" w:ascii="仿宋_GB2312" w:eastAsia="仿宋_GB2312"/>
          <w:kern w:val="0"/>
          <w:sz w:val="32"/>
          <w:szCs w:val="32"/>
          <w:u w:val="single"/>
          <w:lang w:val="en-US" w:eastAsia="zh-CN"/>
        </w:rPr>
        <w:t xml:space="preserve">   </w:t>
      </w:r>
      <w:r>
        <w:rPr>
          <w:rFonts w:hint="eastAsia" w:ascii="Batang" w:hAnsi="Batang" w:eastAsia="Batang" w:cs="Batang"/>
          <w:kern w:val="0"/>
          <w:sz w:val="32"/>
          <w:szCs w:val="32"/>
          <w:u w:val="single"/>
        </w:rPr>
        <w:t>㎡</w:t>
      </w:r>
      <w:r>
        <w:rPr>
          <w:rFonts w:hint="eastAsia" w:ascii="仿宋_GB2312" w:eastAsia="仿宋_GB2312"/>
          <w:kern w:val="0"/>
          <w:sz w:val="32"/>
          <w:szCs w:val="32"/>
        </w:rPr>
        <w:t>房屋出租给乙方使用。水电齐全，乙方已经充分了解标的物的情况。附房屋平面图（或产权证书复印件）</w:t>
      </w:r>
    </w:p>
    <w:p w14:paraId="2F798882">
      <w:pPr>
        <w:spacing w:line="560" w:lineRule="exact"/>
        <w:ind w:firstLine="643" w:firstLineChars="200"/>
        <w:jc w:val="both"/>
        <w:rPr>
          <w:rFonts w:hint="eastAsia" w:ascii="仿宋" w:hAnsi="仿宋" w:eastAsia="仿宋" w:cs="仿宋"/>
          <w:b/>
          <w:color w:val="auto"/>
          <w:kern w:val="0"/>
          <w:sz w:val="32"/>
          <w:szCs w:val="32"/>
          <w:lang w:eastAsia="zh-Hans"/>
        </w:rPr>
      </w:pPr>
      <w:r>
        <w:rPr>
          <w:rFonts w:hint="eastAsia" w:ascii="仿宋" w:hAnsi="仿宋" w:eastAsia="仿宋" w:cs="仿宋"/>
          <w:b/>
          <w:color w:val="auto"/>
          <w:kern w:val="0"/>
          <w:sz w:val="32"/>
          <w:szCs w:val="32"/>
          <w:lang w:eastAsia="zh-Hans"/>
        </w:rPr>
        <w:t>第二</w:t>
      </w:r>
      <w:r>
        <w:rPr>
          <w:rFonts w:hint="eastAsia" w:ascii="仿宋" w:hAnsi="仿宋" w:eastAsia="仿宋" w:cs="仿宋"/>
          <w:b/>
          <w:color w:val="auto"/>
          <w:kern w:val="0"/>
          <w:sz w:val="32"/>
          <w:szCs w:val="32"/>
        </w:rPr>
        <w:t xml:space="preserve">条 </w:t>
      </w:r>
      <w:r>
        <w:rPr>
          <w:rFonts w:hint="eastAsia" w:ascii="仿宋" w:hAnsi="仿宋" w:eastAsia="仿宋" w:cs="仿宋"/>
          <w:b/>
          <w:color w:val="auto"/>
          <w:kern w:val="0"/>
          <w:sz w:val="32"/>
          <w:szCs w:val="32"/>
          <w:lang w:eastAsia="zh-Hans"/>
        </w:rPr>
        <w:t>租赁用途</w:t>
      </w:r>
    </w:p>
    <w:p w14:paraId="0662C905">
      <w:pPr>
        <w:spacing w:line="560" w:lineRule="exact"/>
        <w:ind w:firstLine="640" w:firstLineChars="200"/>
        <w:jc w:val="both"/>
        <w:rPr>
          <w:rFonts w:hint="eastAsia" w:ascii="仿宋" w:hAnsi="仿宋" w:eastAsia="仿宋" w:cs="仿宋"/>
          <w:kern w:val="0"/>
          <w:sz w:val="32"/>
          <w:szCs w:val="32"/>
        </w:rPr>
      </w:pPr>
      <w:r>
        <w:rPr>
          <w:rFonts w:hint="eastAsia" w:ascii="仿宋" w:hAnsi="仿宋" w:eastAsia="仿宋" w:cs="仿宋"/>
          <w:color w:val="auto"/>
          <w:kern w:val="0"/>
          <w:sz w:val="32"/>
          <w:szCs w:val="32"/>
        </w:rPr>
        <w:t>1、</w:t>
      </w:r>
      <w:r>
        <w:rPr>
          <w:rFonts w:hint="eastAsia" w:ascii="仿宋" w:hAnsi="仿宋" w:eastAsia="仿宋" w:cs="仿宋"/>
          <w:color w:val="auto"/>
          <w:kern w:val="0"/>
          <w:sz w:val="32"/>
          <w:szCs w:val="32"/>
          <w:lang w:eastAsia="zh-Hans"/>
        </w:rPr>
        <w:t>乙方向甲方承诺，租赁该房屋仅作为</w:t>
      </w:r>
      <w:r>
        <w:rPr>
          <w:rFonts w:hint="eastAsia" w:ascii="仿宋" w:hAnsi="仿宋" w:eastAsia="仿宋" w:cs="仿宋"/>
          <w:color w:val="auto"/>
          <w:kern w:val="0"/>
          <w:sz w:val="32"/>
          <w:szCs w:val="32"/>
          <w:u w:val="single"/>
          <w:lang w:val="en-US" w:eastAsia="zh-CN"/>
        </w:rPr>
        <w:t xml:space="preserve">      </w:t>
      </w:r>
      <w:r>
        <w:rPr>
          <w:rFonts w:hint="eastAsia" w:ascii="仿宋" w:hAnsi="仿宋" w:eastAsia="仿宋" w:cs="仿宋"/>
          <w:color w:val="auto"/>
          <w:kern w:val="0"/>
          <w:sz w:val="32"/>
          <w:szCs w:val="32"/>
          <w:lang w:eastAsia="zh-Hans"/>
        </w:rPr>
        <w:t>使用</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eastAsia="zh-Hans"/>
        </w:rPr>
        <w:t>未</w:t>
      </w:r>
      <w:r>
        <w:rPr>
          <w:rFonts w:hint="eastAsia" w:ascii="仿宋" w:hAnsi="仿宋" w:eastAsia="仿宋" w:cs="仿宋"/>
          <w:kern w:val="0"/>
          <w:sz w:val="32"/>
          <w:szCs w:val="32"/>
          <w:lang w:eastAsia="zh-Hans"/>
        </w:rPr>
        <w:t>事前征得甲方的书面同意，乙方不得擅自改变该房屋使用用途。否则，所产生的</w:t>
      </w:r>
      <w:r>
        <w:rPr>
          <w:rFonts w:hint="eastAsia" w:ascii="仿宋" w:hAnsi="仿宋" w:eastAsia="仿宋" w:cs="仿宋"/>
          <w:color w:val="FF0000"/>
          <w:kern w:val="0"/>
          <w:sz w:val="32"/>
          <w:szCs w:val="32"/>
          <w:lang w:val="en-US" w:eastAsia="zh-CN"/>
        </w:rPr>
        <w:t>直接和间接经济损失全部</w:t>
      </w:r>
      <w:r>
        <w:rPr>
          <w:rFonts w:hint="eastAsia" w:ascii="仿宋" w:hAnsi="仿宋" w:eastAsia="仿宋" w:cs="仿宋"/>
          <w:kern w:val="0"/>
          <w:sz w:val="32"/>
          <w:szCs w:val="32"/>
          <w:lang w:eastAsia="zh-Hans"/>
        </w:rPr>
        <w:t>由乙方自行承担。</w:t>
      </w:r>
    </w:p>
    <w:p w14:paraId="790A71E9">
      <w:pPr>
        <w:spacing w:line="560" w:lineRule="exact"/>
        <w:ind w:firstLine="640" w:firstLineChars="200"/>
        <w:jc w:val="both"/>
        <w:rPr>
          <w:rFonts w:hint="eastAsia" w:ascii="仿宋" w:hAnsi="仿宋" w:eastAsia="仿宋" w:cs="仿宋"/>
          <w:kern w:val="0"/>
          <w:sz w:val="32"/>
          <w:szCs w:val="32"/>
        </w:rPr>
      </w:pPr>
      <w:r>
        <w:rPr>
          <w:rFonts w:hint="eastAsia" w:ascii="仿宋" w:hAnsi="仿宋" w:eastAsia="仿宋" w:cs="仿宋"/>
          <w:kern w:val="0"/>
          <w:sz w:val="32"/>
          <w:szCs w:val="32"/>
        </w:rPr>
        <w:t>2、乙方</w:t>
      </w:r>
      <w:r>
        <w:rPr>
          <w:rFonts w:hint="eastAsia" w:ascii="仿宋" w:hAnsi="仿宋" w:eastAsia="仿宋" w:cs="仿宋"/>
          <w:kern w:val="0"/>
          <w:sz w:val="32"/>
          <w:szCs w:val="32"/>
          <w:lang w:eastAsia="zh-Hans"/>
        </w:rPr>
        <w:t>租赁该房屋承诺</w:t>
      </w:r>
      <w:r>
        <w:rPr>
          <w:rFonts w:hint="eastAsia" w:ascii="仿宋" w:hAnsi="仿宋" w:eastAsia="仿宋" w:cs="仿宋"/>
          <w:kern w:val="0"/>
          <w:sz w:val="32"/>
          <w:szCs w:val="32"/>
        </w:rPr>
        <w:t>用途必须是在签署租赁协议时</w:t>
      </w:r>
      <w:r>
        <w:rPr>
          <w:rFonts w:hint="eastAsia" w:ascii="仿宋" w:hAnsi="仿宋" w:eastAsia="仿宋" w:cs="仿宋"/>
          <w:kern w:val="0"/>
          <w:sz w:val="32"/>
          <w:szCs w:val="32"/>
          <w:lang w:eastAsia="zh-Hans"/>
        </w:rPr>
        <w:t>其营业执照所规定的经营范围内</w:t>
      </w:r>
      <w:r>
        <w:rPr>
          <w:rFonts w:hint="eastAsia" w:ascii="仿宋" w:hAnsi="仿宋" w:eastAsia="仿宋" w:cs="仿宋"/>
          <w:kern w:val="0"/>
          <w:sz w:val="32"/>
          <w:szCs w:val="32"/>
        </w:rPr>
        <w:t>，且不得用于违法经营。</w:t>
      </w:r>
    </w:p>
    <w:p w14:paraId="0E7769F1">
      <w:pPr>
        <w:spacing w:line="560" w:lineRule="exact"/>
        <w:ind w:firstLine="640" w:firstLineChars="200"/>
        <w:jc w:val="both"/>
        <w:rPr>
          <w:rFonts w:hint="eastAsia" w:ascii="仿宋" w:hAnsi="仿宋" w:eastAsia="仿宋" w:cs="仿宋"/>
          <w:kern w:val="0"/>
          <w:sz w:val="32"/>
          <w:szCs w:val="32"/>
        </w:rPr>
      </w:pPr>
      <w:r>
        <w:rPr>
          <w:rFonts w:hint="eastAsia" w:ascii="仿宋" w:hAnsi="仿宋" w:eastAsia="仿宋" w:cs="仿宋"/>
          <w:kern w:val="0"/>
          <w:sz w:val="32"/>
          <w:szCs w:val="32"/>
        </w:rPr>
        <w:t>3、本租赁物采取包租的方式，消防、生产、设施、设备、安全、环保等由乙方按相关法律规定自行解决、自行管理并自行承担因此</w:t>
      </w:r>
      <w:r>
        <w:rPr>
          <w:rFonts w:hint="eastAsia" w:ascii="仿宋" w:hAnsi="仿宋" w:eastAsia="仿宋" w:cs="仿宋"/>
          <w:kern w:val="0"/>
          <w:sz w:val="32"/>
          <w:szCs w:val="32"/>
          <w:lang w:val="en-US" w:eastAsia="zh-CN"/>
        </w:rPr>
        <w:t>引发</w:t>
      </w:r>
      <w:r>
        <w:rPr>
          <w:rFonts w:hint="eastAsia" w:ascii="仿宋" w:hAnsi="仿宋" w:eastAsia="仿宋" w:cs="仿宋"/>
          <w:kern w:val="0"/>
          <w:sz w:val="32"/>
          <w:szCs w:val="32"/>
        </w:rPr>
        <w:t>的</w:t>
      </w:r>
      <w:r>
        <w:rPr>
          <w:rFonts w:hint="eastAsia" w:ascii="仿宋" w:hAnsi="仿宋" w:eastAsia="仿宋" w:cs="仿宋"/>
          <w:color w:val="FF0000"/>
          <w:kern w:val="0"/>
          <w:sz w:val="32"/>
          <w:szCs w:val="32"/>
          <w:lang w:val="en-US" w:eastAsia="zh-CN"/>
        </w:rPr>
        <w:t>全部直接和间接经济损失</w:t>
      </w:r>
      <w:r>
        <w:rPr>
          <w:rFonts w:hint="eastAsia" w:ascii="仿宋" w:hAnsi="仿宋" w:eastAsia="仿宋" w:cs="仿宋"/>
          <w:color w:val="auto"/>
          <w:kern w:val="0"/>
          <w:sz w:val="32"/>
          <w:szCs w:val="32"/>
          <w:lang w:val="en-US" w:eastAsia="zh-CN"/>
        </w:rPr>
        <w:t>及</w:t>
      </w:r>
      <w:r>
        <w:rPr>
          <w:rFonts w:hint="eastAsia" w:ascii="仿宋" w:hAnsi="仿宋" w:eastAsia="仿宋" w:cs="仿宋"/>
          <w:kern w:val="0"/>
          <w:sz w:val="32"/>
          <w:szCs w:val="32"/>
        </w:rPr>
        <w:t>责任。</w:t>
      </w:r>
    </w:p>
    <w:p w14:paraId="5B86D1D2">
      <w:pPr>
        <w:spacing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第三条</w:t>
      </w:r>
      <w:r>
        <w:rPr>
          <w:rFonts w:hint="eastAsia" w:ascii="仿宋" w:hAnsi="仿宋" w:eastAsia="仿宋" w:cs="仿宋"/>
          <w:b/>
          <w:kern w:val="0"/>
          <w:sz w:val="32"/>
          <w:szCs w:val="32"/>
          <w:lang w:val="en-US" w:eastAsia="zh-CN"/>
        </w:rPr>
        <w:t xml:space="preserve"> </w:t>
      </w:r>
      <w:r>
        <w:rPr>
          <w:rFonts w:hint="eastAsia" w:ascii="仿宋" w:hAnsi="仿宋" w:eastAsia="仿宋" w:cs="仿宋"/>
          <w:b/>
          <w:kern w:val="0"/>
          <w:sz w:val="32"/>
          <w:szCs w:val="32"/>
        </w:rPr>
        <w:t>租赁期限和续租</w:t>
      </w:r>
    </w:p>
    <w:p w14:paraId="75CCF63C">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1、</w:t>
      </w:r>
      <w:r>
        <w:rPr>
          <w:rFonts w:hint="eastAsia" w:ascii="仿宋" w:hAnsi="仿宋" w:eastAsia="仿宋" w:cs="仿宋"/>
          <w:kern w:val="0"/>
          <w:sz w:val="32"/>
          <w:szCs w:val="32"/>
        </w:rPr>
        <w:t>租赁期为</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年，即</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年</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月</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日起至</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年</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月</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日止。</w:t>
      </w:r>
    </w:p>
    <w:p w14:paraId="3D39BC1B">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2、乙方有意在租赁期满后续租的，应提前30日书面通知甲方，甲方应在租赁期满前对是否同意续租进行书面答复。甲方同意续租的，双方商谈后重新签订租赁合同。</w:t>
      </w:r>
    </w:p>
    <w:p w14:paraId="5565FF82">
      <w:pPr>
        <w:spacing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第四条租金、履约保证金标准及其支付方式</w:t>
      </w:r>
    </w:p>
    <w:p w14:paraId="512BB1A1">
      <w:pPr>
        <w:widowControl/>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1、约定年租金为人民币</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元（大写：</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），租金合同签订之日一次性交清。</w:t>
      </w:r>
    </w:p>
    <w:p w14:paraId="12A5F611">
      <w:pPr>
        <w:spacing w:line="56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2、履约保证金为人民币</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元（大写：</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）。本合同到期后如果乙方无违约，甲方无息返还其保证金，若乙方对甲方资产造成损失或有其他违约情形的，甲方有权从保证金中直接扣除。</w:t>
      </w:r>
    </w:p>
    <w:p w14:paraId="1084BA53">
      <w:pPr>
        <w:spacing w:line="56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3、本合同自签订之日，乙方应将其租金和保证金同时交付给甲方。否则甲方有权单方面解除合同。</w:t>
      </w:r>
    </w:p>
    <w:p w14:paraId="7EB008C4">
      <w:pPr>
        <w:spacing w:line="56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4、本合同若为续租合同，则乙方在上一租赁期间缴纳的履约保证金人民币</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元（大写</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，自动结转承续，甲方不再重新收取。</w:t>
      </w:r>
    </w:p>
    <w:p w14:paraId="2AC78402">
      <w:pPr>
        <w:spacing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第五条其他费用</w:t>
      </w:r>
    </w:p>
    <w:p w14:paraId="6607903D">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kern w:val="0"/>
          <w:sz w:val="32"/>
          <w:szCs w:val="32"/>
        </w:rPr>
        <w:t>1、</w:t>
      </w:r>
      <w:r>
        <w:rPr>
          <w:rFonts w:hint="eastAsia" w:ascii="仿宋" w:hAnsi="仿宋" w:eastAsia="仿宋" w:cs="仿宋"/>
          <w:sz w:val="32"/>
          <w:szCs w:val="32"/>
        </w:rPr>
        <w:t>承租期内，乙方的水电费用按甲方对外租赁水电费收取标准支付给甲方，若遇供水供电部门价格调整，按同等比例调整。</w:t>
      </w:r>
    </w:p>
    <w:p w14:paraId="17F0DDA1">
      <w:pPr>
        <w:spacing w:line="56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2、</w:t>
      </w:r>
      <w:r>
        <w:rPr>
          <w:rFonts w:hint="eastAsia" w:ascii="仿宋" w:hAnsi="仿宋" w:eastAsia="仿宋" w:cs="仿宋"/>
          <w:kern w:val="0"/>
          <w:sz w:val="32"/>
          <w:szCs w:val="32"/>
          <w:lang w:eastAsia="zh-Hans"/>
        </w:rPr>
        <w:t>乙方在租赁期限内</w:t>
      </w:r>
      <w:r>
        <w:rPr>
          <w:rFonts w:hint="eastAsia" w:ascii="仿宋" w:hAnsi="仿宋" w:eastAsia="仿宋" w:cs="仿宋"/>
          <w:kern w:val="0"/>
          <w:sz w:val="32"/>
          <w:szCs w:val="32"/>
        </w:rPr>
        <w:t>产生的其他费用包括但不限于煤气费、</w:t>
      </w:r>
      <w:r>
        <w:rPr>
          <w:rFonts w:hint="eastAsia" w:ascii="仿宋" w:hAnsi="仿宋" w:eastAsia="仿宋" w:cs="仿宋"/>
          <w:kern w:val="0"/>
          <w:sz w:val="32"/>
          <w:szCs w:val="32"/>
          <w:lang w:eastAsia="zh-Hans"/>
        </w:rPr>
        <w:t>电话</w:t>
      </w:r>
      <w:r>
        <w:rPr>
          <w:rFonts w:hint="eastAsia" w:ascii="仿宋" w:hAnsi="仿宋" w:eastAsia="仿宋" w:cs="仿宋"/>
          <w:kern w:val="0"/>
          <w:sz w:val="32"/>
          <w:szCs w:val="32"/>
        </w:rPr>
        <w:t>费、</w:t>
      </w:r>
      <w:r>
        <w:rPr>
          <w:rFonts w:hint="eastAsia" w:ascii="仿宋" w:hAnsi="仿宋" w:eastAsia="仿宋" w:cs="仿宋"/>
          <w:kern w:val="0"/>
          <w:sz w:val="32"/>
          <w:szCs w:val="32"/>
          <w:lang w:eastAsia="zh-Hans"/>
        </w:rPr>
        <w:t>网络使用费</w:t>
      </w:r>
      <w:r>
        <w:rPr>
          <w:rFonts w:hint="eastAsia" w:ascii="仿宋" w:hAnsi="仿宋" w:eastAsia="仿宋" w:cs="仿宋"/>
          <w:kern w:val="0"/>
          <w:sz w:val="32"/>
          <w:szCs w:val="32"/>
        </w:rPr>
        <w:t>、</w:t>
      </w:r>
      <w:r>
        <w:rPr>
          <w:rFonts w:hint="eastAsia" w:ascii="仿宋" w:hAnsi="仿宋" w:eastAsia="仿宋" w:cs="仿宋"/>
          <w:kern w:val="0"/>
          <w:sz w:val="32"/>
          <w:szCs w:val="32"/>
          <w:lang w:eastAsia="zh-Hans"/>
        </w:rPr>
        <w:t>物业管理费</w:t>
      </w:r>
      <w:r>
        <w:rPr>
          <w:rFonts w:hint="eastAsia" w:ascii="仿宋" w:hAnsi="仿宋" w:eastAsia="仿宋" w:cs="仿宋"/>
          <w:kern w:val="0"/>
          <w:sz w:val="32"/>
          <w:szCs w:val="32"/>
        </w:rPr>
        <w:t>、装修押金等</w:t>
      </w:r>
      <w:r>
        <w:rPr>
          <w:rFonts w:hint="eastAsia" w:ascii="仿宋" w:hAnsi="仿宋" w:eastAsia="仿宋" w:cs="仿宋"/>
          <w:kern w:val="0"/>
          <w:sz w:val="32"/>
          <w:szCs w:val="32"/>
          <w:lang w:eastAsia="zh-Hans"/>
        </w:rPr>
        <w:t>由乙方自行承担</w:t>
      </w:r>
      <w:r>
        <w:rPr>
          <w:rFonts w:hint="eastAsia" w:ascii="仿宋" w:hAnsi="仿宋" w:eastAsia="仿宋" w:cs="仿宋"/>
          <w:kern w:val="0"/>
          <w:sz w:val="32"/>
          <w:szCs w:val="32"/>
        </w:rPr>
        <w:t>并依照规定按时足额缴纳，拖欠该费用所产生的</w:t>
      </w:r>
      <w:r>
        <w:rPr>
          <w:rFonts w:hint="eastAsia" w:ascii="仿宋" w:hAnsi="仿宋" w:eastAsia="仿宋" w:cs="仿宋"/>
          <w:color w:val="FF0000"/>
          <w:kern w:val="0"/>
          <w:sz w:val="32"/>
          <w:szCs w:val="32"/>
          <w:lang w:val="en-US" w:eastAsia="zh-CN"/>
        </w:rPr>
        <w:t>直接和间接经济损失及</w:t>
      </w:r>
      <w:r>
        <w:rPr>
          <w:rFonts w:hint="eastAsia" w:ascii="仿宋" w:hAnsi="仿宋" w:eastAsia="仿宋" w:cs="仿宋"/>
          <w:color w:val="FF0000"/>
          <w:kern w:val="0"/>
          <w:sz w:val="32"/>
          <w:szCs w:val="32"/>
        </w:rPr>
        <w:t>后果</w:t>
      </w:r>
      <w:r>
        <w:rPr>
          <w:rFonts w:hint="eastAsia" w:ascii="仿宋" w:hAnsi="仿宋" w:eastAsia="仿宋" w:cs="仿宋"/>
          <w:color w:val="FF0000"/>
          <w:kern w:val="0"/>
          <w:sz w:val="32"/>
          <w:szCs w:val="32"/>
          <w:lang w:val="en-US" w:eastAsia="zh-CN"/>
        </w:rPr>
        <w:t>全部</w:t>
      </w:r>
      <w:r>
        <w:rPr>
          <w:rFonts w:hint="eastAsia" w:ascii="仿宋" w:hAnsi="仿宋" w:eastAsia="仿宋" w:cs="仿宋"/>
          <w:kern w:val="0"/>
          <w:sz w:val="32"/>
          <w:szCs w:val="32"/>
        </w:rPr>
        <w:t>由乙方承担</w:t>
      </w:r>
      <w:r>
        <w:rPr>
          <w:rFonts w:hint="eastAsia" w:ascii="仿宋" w:hAnsi="仿宋" w:eastAsia="仿宋" w:cs="仿宋"/>
          <w:kern w:val="0"/>
          <w:sz w:val="32"/>
          <w:szCs w:val="32"/>
          <w:lang w:eastAsia="zh-Hans"/>
        </w:rPr>
        <w:t>。</w:t>
      </w:r>
    </w:p>
    <w:p w14:paraId="08F2D90F">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3、在租赁期间内，如果发生政府有关部门收取本合同未列出但与使用该房屋有关的费用，均由乙方承担。</w:t>
      </w:r>
    </w:p>
    <w:p w14:paraId="01DD4EF5">
      <w:pPr>
        <w:spacing w:line="560" w:lineRule="exact"/>
        <w:ind w:firstLine="643" w:firstLineChars="200"/>
        <w:rPr>
          <w:rFonts w:ascii="仿宋_GB2312" w:eastAsia="仿宋_GB2312"/>
          <w:b/>
          <w:kern w:val="0"/>
          <w:sz w:val="32"/>
          <w:szCs w:val="32"/>
        </w:rPr>
      </w:pPr>
      <w:r>
        <w:rPr>
          <w:rFonts w:hint="eastAsia" w:ascii="仿宋_GB2312" w:eastAsia="仿宋_GB2312"/>
          <w:b/>
          <w:kern w:val="0"/>
          <w:sz w:val="32"/>
          <w:szCs w:val="32"/>
        </w:rPr>
        <w:t>第六条</w:t>
      </w:r>
      <w:r>
        <w:rPr>
          <w:rFonts w:hint="eastAsia" w:ascii="仿宋_GB2312" w:eastAsia="仿宋_GB2312"/>
          <w:b/>
          <w:kern w:val="0"/>
          <w:sz w:val="32"/>
          <w:szCs w:val="32"/>
          <w:lang w:val="en-US" w:eastAsia="zh-CN"/>
        </w:rPr>
        <w:t xml:space="preserve"> </w:t>
      </w:r>
      <w:r>
        <w:rPr>
          <w:rFonts w:hint="eastAsia" w:ascii="仿宋_GB2312" w:eastAsia="仿宋_GB2312"/>
          <w:b/>
          <w:kern w:val="0"/>
          <w:sz w:val="32"/>
          <w:szCs w:val="32"/>
        </w:rPr>
        <w:t>租赁标的物使用要求和维修责任</w:t>
      </w:r>
    </w:p>
    <w:p w14:paraId="03E5B722">
      <w:pPr>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1、乙方承租该房屋后只能按照本合同约定的用途使用，不得另作他用；在使用过程中应爱惜房屋及各种设施，因乙方原因造成房屋或设施损坏的</w:t>
      </w:r>
      <w:r>
        <w:rPr>
          <w:rFonts w:hint="eastAsia" w:ascii="仿宋_GB2312" w:eastAsia="仿宋_GB2312"/>
          <w:color w:val="000000"/>
          <w:kern w:val="0"/>
          <w:sz w:val="32"/>
          <w:szCs w:val="32"/>
        </w:rPr>
        <w:t>由乙方承担全部责任</w:t>
      </w:r>
      <w:r>
        <w:rPr>
          <w:rFonts w:hint="eastAsia" w:ascii="仿宋_GB2312" w:eastAsia="仿宋_GB2312"/>
          <w:kern w:val="0"/>
          <w:sz w:val="32"/>
          <w:szCs w:val="32"/>
        </w:rPr>
        <w:t>，乙方应立即修复</w:t>
      </w:r>
      <w:r>
        <w:rPr>
          <w:rFonts w:hint="eastAsia" w:ascii="仿宋_GB2312" w:eastAsia="仿宋_GB2312"/>
          <w:color w:val="000000"/>
          <w:kern w:val="0"/>
          <w:sz w:val="32"/>
          <w:szCs w:val="32"/>
        </w:rPr>
        <w:t>并赔偿由此</w:t>
      </w:r>
      <w:r>
        <w:rPr>
          <w:rFonts w:hint="eastAsia" w:ascii="仿宋_GB2312" w:eastAsia="仿宋_GB2312"/>
          <w:kern w:val="0"/>
          <w:sz w:val="32"/>
          <w:szCs w:val="32"/>
        </w:rPr>
        <w:t>给</w:t>
      </w:r>
      <w:r>
        <w:rPr>
          <w:rFonts w:hint="eastAsia" w:ascii="仿宋_GB2312" w:eastAsia="仿宋_GB2312"/>
          <w:color w:val="000000"/>
          <w:kern w:val="0"/>
          <w:sz w:val="32"/>
          <w:szCs w:val="32"/>
        </w:rPr>
        <w:t>甲方造成的各种损失</w:t>
      </w:r>
      <w:r>
        <w:rPr>
          <w:rFonts w:hint="eastAsia" w:ascii="仿宋_GB2312" w:eastAsia="仿宋_GB2312"/>
          <w:kern w:val="0"/>
          <w:sz w:val="32"/>
          <w:szCs w:val="32"/>
        </w:rPr>
        <w:t>。</w:t>
      </w:r>
    </w:p>
    <w:p w14:paraId="32A3ED49">
      <w:pPr>
        <w:spacing w:line="560" w:lineRule="exact"/>
        <w:ind w:firstLine="640" w:firstLineChars="200"/>
        <w:rPr>
          <w:rFonts w:ascii="仿宋_GB2312" w:eastAsia="仿宋_GB2312"/>
          <w:color w:val="000000"/>
          <w:kern w:val="0"/>
          <w:sz w:val="32"/>
          <w:szCs w:val="32"/>
        </w:rPr>
      </w:pPr>
      <w:r>
        <w:rPr>
          <w:rFonts w:hint="eastAsia" w:ascii="仿宋_GB2312" w:eastAsia="仿宋_GB2312"/>
          <w:kern w:val="0"/>
          <w:sz w:val="32"/>
          <w:szCs w:val="32"/>
        </w:rPr>
        <w:t>2、承租期内乙方需要对租赁标的物进行装修的，须征得甲方书面同意，且装修不得造成房屋主体架构的破坏。由于乙方装修造成房屋结构及其附属设备、设施损坏的，</w:t>
      </w:r>
      <w:r>
        <w:rPr>
          <w:rFonts w:hint="eastAsia" w:ascii="仿宋_GB2312" w:eastAsia="仿宋_GB2312"/>
          <w:color w:val="000000"/>
          <w:kern w:val="0"/>
          <w:sz w:val="32"/>
          <w:szCs w:val="32"/>
        </w:rPr>
        <w:t>由乙方承担责任并赔偿全部损失。如果由于乙方装修造成房屋结构及其附属设备、设施损坏，以及因装修所产生的各种处罚、引起的纠纷、索赔或法律诉讼等后果均由乙方承担。</w:t>
      </w:r>
    </w:p>
    <w:p w14:paraId="281339FD">
      <w:pPr>
        <w:spacing w:line="560" w:lineRule="exact"/>
        <w:ind w:firstLine="640" w:firstLineChars="200"/>
        <w:jc w:val="left"/>
        <w:rPr>
          <w:rFonts w:ascii="仿宋_GB2312" w:hAnsi="宋体" w:eastAsia="仿宋_GB2312"/>
          <w:b/>
          <w:color w:val="000000"/>
          <w:sz w:val="32"/>
          <w:szCs w:val="32"/>
          <w:u w:val="single"/>
        </w:rPr>
      </w:pPr>
      <w:r>
        <w:rPr>
          <w:rFonts w:hint="eastAsia" w:ascii="仿宋_GB2312" w:eastAsia="仿宋_GB2312"/>
          <w:kern w:val="0"/>
          <w:sz w:val="32"/>
          <w:szCs w:val="32"/>
        </w:rPr>
        <w:t>3、</w:t>
      </w:r>
      <w:r>
        <w:rPr>
          <w:rFonts w:hint="eastAsia" w:ascii="仿宋_GB2312" w:eastAsia="仿宋_GB2312"/>
          <w:b/>
          <w:color w:val="000000"/>
          <w:kern w:val="0"/>
          <w:sz w:val="32"/>
          <w:szCs w:val="32"/>
          <w:u w:val="single"/>
        </w:rPr>
        <w:t>乙方对承租房屋进行装修时所产生的一切费用由乙方自行承担。如遇政府性拆迁租赁物时，</w:t>
      </w:r>
      <w:r>
        <w:rPr>
          <w:rFonts w:hint="eastAsia" w:ascii="仿宋_GB2312" w:hAnsi="宋体" w:eastAsia="仿宋_GB2312"/>
          <w:b/>
          <w:color w:val="000000"/>
          <w:sz w:val="32"/>
          <w:szCs w:val="32"/>
          <w:u w:val="single"/>
        </w:rPr>
        <w:t>合同提前终止(中止)或解除租赁关系，甲方不作任何补偿，也不得要求其他第三方进行补偿。</w:t>
      </w:r>
    </w:p>
    <w:p w14:paraId="3731B1A9">
      <w:pPr>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4、承租期内标的物及其各种设施的维护、维修由乙方负责并承担相关费用。</w:t>
      </w:r>
    </w:p>
    <w:p w14:paraId="1EE5F05C">
      <w:pPr>
        <w:spacing w:line="560" w:lineRule="exact"/>
        <w:ind w:firstLine="643" w:firstLineChars="200"/>
        <w:rPr>
          <w:rFonts w:ascii="仿宋_GB2312" w:eastAsia="仿宋_GB2312"/>
          <w:b/>
          <w:kern w:val="0"/>
          <w:sz w:val="32"/>
          <w:szCs w:val="32"/>
        </w:rPr>
      </w:pPr>
      <w:r>
        <w:rPr>
          <w:rFonts w:hint="eastAsia" w:ascii="仿宋_GB2312" w:eastAsia="仿宋_GB2312"/>
          <w:b/>
          <w:kern w:val="0"/>
          <w:sz w:val="32"/>
          <w:szCs w:val="32"/>
        </w:rPr>
        <w:t>第七条</w:t>
      </w:r>
      <w:r>
        <w:rPr>
          <w:rFonts w:hint="eastAsia" w:ascii="仿宋_GB2312" w:eastAsia="仿宋_GB2312"/>
          <w:b/>
          <w:kern w:val="0"/>
          <w:sz w:val="32"/>
          <w:szCs w:val="32"/>
          <w:lang w:val="en-US" w:eastAsia="zh-CN"/>
        </w:rPr>
        <w:t xml:space="preserve"> </w:t>
      </w:r>
      <w:r>
        <w:rPr>
          <w:rFonts w:hint="eastAsia" w:ascii="仿宋_GB2312" w:eastAsia="仿宋_GB2312"/>
          <w:b/>
          <w:kern w:val="0"/>
          <w:sz w:val="32"/>
          <w:szCs w:val="32"/>
        </w:rPr>
        <w:t>甲方的权利和义务</w:t>
      </w:r>
    </w:p>
    <w:p w14:paraId="443FBEA8">
      <w:pPr>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1、甲方应保证所出租的房产为其所有，并无产权及使用权的纠纷，如发生产权及使用权的纠纷，如果给乙方造成损失的，由甲方承担。</w:t>
      </w:r>
    </w:p>
    <w:p w14:paraId="58718CB2">
      <w:pPr>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2、</w:t>
      </w:r>
      <w:r>
        <w:rPr>
          <w:rFonts w:hint="eastAsia" w:ascii="仿宋_GB2312" w:hAnsi="宋体" w:eastAsia="仿宋_GB2312"/>
          <w:sz w:val="32"/>
          <w:szCs w:val="32"/>
        </w:rPr>
        <w:t>甲方应保证所出租的房屋水电正常使用（在供电、供水部门正常提供时）。乙方次月5日前上缴本月水、电费(交甲方财务部)。逾期不缴的，从所缴保证金中支取。所充保证金不足部分由乙方5个工作日内补缴，逾期按20％收取滞纳金。</w:t>
      </w:r>
    </w:p>
    <w:p w14:paraId="41BB682F">
      <w:pPr>
        <w:spacing w:line="560" w:lineRule="exact"/>
        <w:ind w:firstLine="640" w:firstLineChars="200"/>
        <w:rPr>
          <w:rFonts w:ascii="仿宋_GB2312" w:eastAsia="仿宋_GB2312"/>
          <w:kern w:val="0"/>
          <w:sz w:val="32"/>
          <w:szCs w:val="32"/>
        </w:rPr>
      </w:pPr>
      <w:r>
        <w:rPr>
          <w:rFonts w:hint="eastAsia" w:ascii="仿宋_GB2312" w:hAnsi="宋体" w:eastAsia="仿宋_GB2312"/>
          <w:sz w:val="32"/>
          <w:szCs w:val="32"/>
        </w:rPr>
        <w:t>3、</w:t>
      </w:r>
      <w:r>
        <w:rPr>
          <w:rFonts w:hint="eastAsia" w:ascii="仿宋_GB2312" w:eastAsia="仿宋_GB2312"/>
          <w:kern w:val="0"/>
          <w:sz w:val="32"/>
          <w:szCs w:val="32"/>
        </w:rPr>
        <w:t>甲方按约定向乙方收取租金、履约保证金及水电费。</w:t>
      </w:r>
    </w:p>
    <w:p w14:paraId="0EC2C324">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4、甲方有权在合同履行期间对乙方的安全管理进行监督检查并提出书面整改意见，乙方拒不整改的，甲方有权单方面解除合同。</w:t>
      </w:r>
    </w:p>
    <w:p w14:paraId="593CE322">
      <w:pPr>
        <w:spacing w:line="560" w:lineRule="exact"/>
        <w:ind w:firstLine="643" w:firstLineChars="200"/>
        <w:rPr>
          <w:rFonts w:ascii="仿宋_GB2312" w:eastAsia="仿宋_GB2312"/>
          <w:b/>
          <w:kern w:val="0"/>
          <w:sz w:val="32"/>
          <w:szCs w:val="32"/>
        </w:rPr>
      </w:pPr>
      <w:r>
        <w:rPr>
          <w:rFonts w:hint="eastAsia" w:ascii="仿宋_GB2312" w:eastAsia="仿宋_GB2312"/>
          <w:b/>
          <w:kern w:val="0"/>
          <w:sz w:val="32"/>
          <w:szCs w:val="32"/>
        </w:rPr>
        <w:t>第八条</w:t>
      </w:r>
      <w:r>
        <w:rPr>
          <w:rFonts w:hint="eastAsia" w:ascii="仿宋_GB2312" w:eastAsia="仿宋_GB2312"/>
          <w:b/>
          <w:kern w:val="0"/>
          <w:sz w:val="32"/>
          <w:szCs w:val="32"/>
          <w:lang w:val="en-US" w:eastAsia="zh-CN"/>
        </w:rPr>
        <w:t xml:space="preserve"> </w:t>
      </w:r>
      <w:r>
        <w:rPr>
          <w:rFonts w:hint="eastAsia" w:ascii="仿宋_GB2312" w:eastAsia="仿宋_GB2312"/>
          <w:b/>
          <w:kern w:val="0"/>
          <w:sz w:val="32"/>
          <w:szCs w:val="32"/>
        </w:rPr>
        <w:t>乙方的权利和义务</w:t>
      </w:r>
    </w:p>
    <w:p w14:paraId="17E66E50">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1、根据甲方认可的营业执照载明的营业范围进行合法经营活动。承租期内，擅自撤出租赁房屋，其已缴纳的租金和保证金，甲方不予退还。擅自撤出逾期三十日的，甲方有权终止合同。</w:t>
      </w:r>
    </w:p>
    <w:p w14:paraId="5A63FF80">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2、乙方按约定向甲方缴纳租金、履约保证金及水电费。</w:t>
      </w:r>
    </w:p>
    <w:p w14:paraId="6EB846C7">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3、承担使用该房屋有关的其他费用。</w:t>
      </w:r>
    </w:p>
    <w:p w14:paraId="3AC58179">
      <w:pPr>
        <w:spacing w:line="560" w:lineRule="exact"/>
        <w:ind w:firstLine="640" w:firstLineChars="200"/>
        <w:jc w:val="left"/>
        <w:rPr>
          <w:rFonts w:ascii="仿宋_GB2312" w:hAnsi="宋体" w:eastAsia="仿宋_GB2312"/>
          <w:b/>
          <w:sz w:val="32"/>
          <w:szCs w:val="32"/>
          <w:u w:val="single"/>
        </w:rPr>
      </w:pPr>
      <w:r>
        <w:rPr>
          <w:rFonts w:hint="eastAsia" w:ascii="仿宋_GB2312" w:hAnsi="宋体" w:eastAsia="仿宋_GB2312"/>
          <w:sz w:val="32"/>
          <w:szCs w:val="32"/>
        </w:rPr>
        <w:t>4、若遇政府征地、环境污染治理和连云港市工业投资集团规划用地等土地所有权变更，标的物不再具备租赁条件，甲方提前30日书面通知乙方，并退还乙方剩余部分的租金和保证金，乙方接通知60日内无条件搬出场地，甲方不承担任何费用。</w:t>
      </w:r>
      <w:r>
        <w:rPr>
          <w:rFonts w:hint="eastAsia" w:ascii="仿宋_GB2312" w:hAnsi="宋体" w:eastAsia="仿宋_GB2312"/>
          <w:b/>
          <w:sz w:val="32"/>
          <w:szCs w:val="32"/>
          <w:u w:val="single"/>
        </w:rPr>
        <w:t>逾期不搬，甲方有权处置其资产，并不作任何经济补偿。</w:t>
      </w:r>
    </w:p>
    <w:p w14:paraId="333F0009">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5、乙方对所租赁房屋无权转租，否则甲方有权单方面终止合同。</w:t>
      </w:r>
    </w:p>
    <w:p w14:paraId="40E1E24C">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6、乙方不得擅自改变或改良房屋的水电路线及房屋结构，若需改变或改良需经甲方书面同意，否则乙方不得施工。</w:t>
      </w:r>
    </w:p>
    <w:p w14:paraId="3574544F">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7、在租赁期限内，非甲方原因（含乙方原因或者任何第三人故意过失或意外事件）造成的乙方本人、乙方员工、访客及其消费者财产或人身受到任何损害时，乙方自行解决由此而引发的纠纷，并自行承担由此而导致的损害赔偿后果，与甲方无关，如甲方因此承担任何责任的，有权向乙方追偿。</w:t>
      </w:r>
    </w:p>
    <w:p w14:paraId="4C4B81FC">
      <w:pPr>
        <w:spacing w:line="560" w:lineRule="exact"/>
        <w:ind w:firstLine="643" w:firstLineChars="200"/>
        <w:rPr>
          <w:rFonts w:ascii="仿宋_GB2312" w:eastAsia="仿宋_GB2312"/>
          <w:b/>
          <w:kern w:val="0"/>
          <w:sz w:val="32"/>
          <w:szCs w:val="32"/>
        </w:rPr>
      </w:pPr>
      <w:r>
        <w:rPr>
          <w:rFonts w:hint="eastAsia" w:ascii="仿宋_GB2312" w:eastAsia="仿宋_GB2312"/>
          <w:b/>
          <w:kern w:val="0"/>
          <w:sz w:val="32"/>
          <w:szCs w:val="32"/>
        </w:rPr>
        <w:t>第九条</w:t>
      </w:r>
      <w:r>
        <w:rPr>
          <w:rFonts w:hint="eastAsia" w:ascii="仿宋_GB2312" w:eastAsia="仿宋_GB2312"/>
          <w:b/>
          <w:kern w:val="0"/>
          <w:sz w:val="32"/>
          <w:szCs w:val="32"/>
          <w:lang w:val="en-US" w:eastAsia="zh-CN"/>
        </w:rPr>
        <w:t xml:space="preserve"> </w:t>
      </w:r>
      <w:r>
        <w:rPr>
          <w:rFonts w:hint="eastAsia" w:ascii="仿宋_GB2312" w:eastAsia="仿宋_GB2312"/>
          <w:b/>
          <w:kern w:val="0"/>
          <w:sz w:val="32"/>
          <w:szCs w:val="32"/>
        </w:rPr>
        <w:t>合同的变更</w:t>
      </w:r>
    </w:p>
    <w:p w14:paraId="18371E82">
      <w:pPr>
        <w:spacing w:line="560" w:lineRule="exact"/>
        <w:ind w:firstLine="540"/>
        <w:jc w:val="left"/>
        <w:rPr>
          <w:rFonts w:ascii="仿宋_GB2312" w:hAnsi="宋体" w:eastAsia="仿宋_GB2312"/>
          <w:sz w:val="32"/>
          <w:szCs w:val="32"/>
        </w:rPr>
      </w:pPr>
      <w:r>
        <w:rPr>
          <w:rFonts w:hint="eastAsia" w:ascii="仿宋_GB2312" w:hAnsi="宋体" w:eastAsia="仿宋_GB2312"/>
          <w:sz w:val="32"/>
          <w:szCs w:val="32"/>
        </w:rPr>
        <w:t>对本合同内容做出的任何修改和补充应为书面形式 ,由双方签字后成为本合同不可分割的组成部分。</w:t>
      </w:r>
    </w:p>
    <w:p w14:paraId="4D462876">
      <w:pPr>
        <w:spacing w:line="560" w:lineRule="exact"/>
        <w:ind w:firstLine="643" w:firstLineChars="200"/>
        <w:rPr>
          <w:rFonts w:ascii="仿宋_GB2312" w:eastAsia="仿宋_GB2312"/>
          <w:b/>
          <w:kern w:val="0"/>
          <w:sz w:val="32"/>
          <w:szCs w:val="32"/>
        </w:rPr>
      </w:pPr>
      <w:r>
        <w:rPr>
          <w:rFonts w:hint="eastAsia" w:ascii="仿宋_GB2312" w:eastAsia="仿宋_GB2312"/>
          <w:b/>
          <w:kern w:val="0"/>
          <w:sz w:val="32"/>
          <w:szCs w:val="32"/>
        </w:rPr>
        <w:t>第十条</w:t>
      </w:r>
      <w:r>
        <w:rPr>
          <w:rFonts w:hint="eastAsia" w:ascii="仿宋_GB2312" w:eastAsia="仿宋_GB2312"/>
          <w:b/>
          <w:kern w:val="0"/>
          <w:sz w:val="32"/>
          <w:szCs w:val="32"/>
          <w:lang w:val="en-US" w:eastAsia="zh-CN"/>
        </w:rPr>
        <w:t xml:space="preserve"> </w:t>
      </w:r>
      <w:r>
        <w:rPr>
          <w:rFonts w:hint="eastAsia" w:ascii="仿宋_GB2312" w:eastAsia="仿宋_GB2312"/>
          <w:b/>
          <w:kern w:val="0"/>
          <w:sz w:val="32"/>
          <w:szCs w:val="32"/>
        </w:rPr>
        <w:t>合同的解除</w:t>
      </w:r>
    </w:p>
    <w:p w14:paraId="4BB12FD9">
      <w:pPr>
        <w:spacing w:line="560" w:lineRule="exact"/>
        <w:ind w:firstLine="540"/>
        <w:jc w:val="left"/>
        <w:rPr>
          <w:rFonts w:ascii="仿宋_GB2312" w:hAnsi="宋体" w:eastAsia="仿宋_GB2312"/>
          <w:sz w:val="32"/>
          <w:szCs w:val="32"/>
        </w:rPr>
      </w:pPr>
      <w:r>
        <w:rPr>
          <w:rFonts w:hint="eastAsia" w:ascii="仿宋_GB2312" w:hAnsi="宋体" w:eastAsia="仿宋_GB2312"/>
          <w:sz w:val="32"/>
          <w:szCs w:val="32"/>
        </w:rPr>
        <w:t>1、经甲乙双方协商一致 ,可以解除本合同。</w:t>
      </w:r>
    </w:p>
    <w:p w14:paraId="5EF9BC26">
      <w:pPr>
        <w:spacing w:line="560" w:lineRule="exact"/>
        <w:ind w:firstLine="540"/>
        <w:jc w:val="left"/>
        <w:rPr>
          <w:rFonts w:ascii="仿宋_GB2312" w:hAnsi="宋体" w:eastAsia="仿宋_GB2312"/>
          <w:sz w:val="32"/>
          <w:szCs w:val="32"/>
        </w:rPr>
      </w:pPr>
      <w:r>
        <w:rPr>
          <w:rFonts w:hint="eastAsia" w:ascii="仿宋_GB2312" w:hAnsi="宋体" w:eastAsia="仿宋_GB2312"/>
          <w:sz w:val="32"/>
          <w:szCs w:val="32"/>
        </w:rPr>
        <w:t>2、甲方有下列情形之一的，乙方有权单方解除合同：</w:t>
      </w:r>
    </w:p>
    <w:p w14:paraId="1135EE2A">
      <w:pPr>
        <w:spacing w:line="560" w:lineRule="exact"/>
        <w:ind w:firstLine="540"/>
        <w:jc w:val="left"/>
        <w:rPr>
          <w:rFonts w:ascii="仿宋_GB2312" w:hAnsi="宋体" w:eastAsia="仿宋_GB2312"/>
          <w:sz w:val="32"/>
          <w:szCs w:val="32"/>
        </w:rPr>
      </w:pPr>
      <w:r>
        <w:rPr>
          <w:rFonts w:hint="eastAsia" w:ascii="仿宋_GB2312" w:hAnsi="宋体" w:eastAsia="仿宋_GB2312"/>
          <w:sz w:val="32"/>
          <w:szCs w:val="32"/>
        </w:rPr>
        <w:t>2.1 未按约定时间交付该房屋达30日的。</w:t>
      </w:r>
    </w:p>
    <w:p w14:paraId="7805E9DE">
      <w:pPr>
        <w:spacing w:line="560" w:lineRule="exact"/>
        <w:ind w:firstLine="540"/>
        <w:jc w:val="left"/>
        <w:rPr>
          <w:rFonts w:ascii="仿宋_GB2312" w:hAnsi="宋体" w:eastAsia="仿宋_GB2312"/>
          <w:sz w:val="32"/>
          <w:szCs w:val="32"/>
        </w:rPr>
      </w:pPr>
      <w:r>
        <w:rPr>
          <w:rFonts w:hint="eastAsia" w:ascii="仿宋_GB2312" w:hAnsi="宋体" w:eastAsia="仿宋_GB2312"/>
          <w:sz w:val="32"/>
          <w:szCs w:val="32"/>
        </w:rPr>
        <w:t>2.2 交付的房屋不符合合同约定严重影响乙方使用的。</w:t>
      </w:r>
    </w:p>
    <w:p w14:paraId="0395D8D5">
      <w:pPr>
        <w:spacing w:line="560" w:lineRule="exact"/>
        <w:ind w:firstLine="540"/>
        <w:jc w:val="left"/>
        <w:rPr>
          <w:rFonts w:ascii="仿宋_GB2312" w:eastAsia="仿宋_GB2312"/>
          <w:kern w:val="0"/>
          <w:sz w:val="32"/>
          <w:szCs w:val="32"/>
        </w:rPr>
      </w:pPr>
      <w:r>
        <w:rPr>
          <w:rFonts w:hint="eastAsia" w:ascii="仿宋_GB2312" w:hAnsi="宋体" w:eastAsia="仿宋_GB2312"/>
          <w:sz w:val="32"/>
          <w:szCs w:val="32"/>
        </w:rPr>
        <w:t>3、乙方有下列情形之一的，甲方有权单方面解除合同，乙方应按本合同约定的租金总额的20%向甲方支付违约金：</w:t>
      </w:r>
    </w:p>
    <w:p w14:paraId="57B48100">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3.1不具有合法经营资格的，包括因违法经营被行政管理部门吊销、收回营业执照的。</w:t>
      </w:r>
    </w:p>
    <w:p w14:paraId="5C0BF300">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3.2未按本合同约定的用途使用租赁房屋的。</w:t>
      </w:r>
    </w:p>
    <w:p w14:paraId="0F2F38BD">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3.3逾期支付，在甲方给予宽限的期限内仍不支付租金的。</w:t>
      </w:r>
    </w:p>
    <w:p w14:paraId="4C3FDB73">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3.4违反甲方依法制定的规章制度情节严重且拒不接受甲方监督的。</w:t>
      </w:r>
    </w:p>
    <w:p w14:paraId="34A7E781">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3.5向甲方提供虚假营业执照等证照，并经查实的。</w:t>
      </w:r>
    </w:p>
    <w:p w14:paraId="46F9267E">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3.6拒不接受甲方安全生产管理及整改要求。</w:t>
      </w:r>
    </w:p>
    <w:p w14:paraId="5769DBFD">
      <w:pPr>
        <w:spacing w:line="560" w:lineRule="exact"/>
        <w:ind w:firstLine="540"/>
        <w:jc w:val="left"/>
        <w:rPr>
          <w:rFonts w:ascii="仿宋_GB2312" w:hAnsi="宋体" w:eastAsia="仿宋_GB2312"/>
          <w:sz w:val="32"/>
          <w:szCs w:val="32"/>
        </w:rPr>
      </w:pPr>
      <w:r>
        <w:rPr>
          <w:rFonts w:hint="eastAsia" w:ascii="仿宋_GB2312" w:hAnsi="宋体" w:eastAsia="仿宋_GB2312"/>
          <w:sz w:val="32"/>
          <w:szCs w:val="32"/>
        </w:rPr>
        <w:t>4、租赁期满，本合同自然终止</w:t>
      </w:r>
      <w:r>
        <w:rPr>
          <w:rFonts w:hint="eastAsia" w:ascii="仿宋_GB2312" w:eastAsia="仿宋_GB2312"/>
          <w:color w:val="000000"/>
          <w:kern w:val="0"/>
          <w:sz w:val="32"/>
          <w:szCs w:val="32"/>
        </w:rPr>
        <w:t>。</w:t>
      </w:r>
    </w:p>
    <w:p w14:paraId="0ADA028E">
      <w:pPr>
        <w:spacing w:line="560" w:lineRule="exact"/>
        <w:ind w:firstLine="630" w:firstLineChars="196"/>
        <w:jc w:val="left"/>
        <w:rPr>
          <w:rFonts w:ascii="仿宋_GB2312" w:hAnsi="宋体" w:eastAsia="仿宋_GB2312"/>
          <w:b/>
          <w:sz w:val="32"/>
          <w:szCs w:val="32"/>
        </w:rPr>
      </w:pPr>
      <w:r>
        <w:rPr>
          <w:rFonts w:hint="eastAsia" w:ascii="仿宋_GB2312" w:hAnsi="宋体" w:eastAsia="仿宋_GB2312"/>
          <w:b/>
          <w:sz w:val="32"/>
          <w:szCs w:val="32"/>
        </w:rPr>
        <w:t>第十一条</w:t>
      </w:r>
      <w:r>
        <w:rPr>
          <w:rFonts w:hint="eastAsia" w:ascii="仿宋_GB2312" w:hAnsi="宋体" w:eastAsia="仿宋_GB2312"/>
          <w:b/>
          <w:sz w:val="32"/>
          <w:szCs w:val="32"/>
          <w:lang w:val="en-US" w:eastAsia="zh-CN"/>
        </w:rPr>
        <w:t xml:space="preserve"> </w:t>
      </w:r>
      <w:r>
        <w:rPr>
          <w:rFonts w:hint="eastAsia" w:ascii="仿宋_GB2312" w:hAnsi="宋体" w:eastAsia="仿宋_GB2312"/>
          <w:b/>
          <w:sz w:val="32"/>
          <w:szCs w:val="32"/>
        </w:rPr>
        <w:t>免责条款</w:t>
      </w:r>
    </w:p>
    <w:p w14:paraId="2DA81486">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1、因战争、自然灾害等不可抗力的原因，致使租赁标的物不适于使用或租用，使本合同不能履行时，本合同自行解除，双方互不承担违约责任。</w:t>
      </w:r>
    </w:p>
    <w:p w14:paraId="42FEB6CC">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2、因政府规划、环境污染治理等社会公共利益的需要、市工业投资集团公司规划用地等致使本合同无法履行时，双方互不承担违约责任。</w:t>
      </w:r>
    </w:p>
    <w:p w14:paraId="5E41DB3B">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3、因上述原因而解除合同的，租金按照实际使用时间计算，不足整月的按月计算，多退少补。</w:t>
      </w:r>
    </w:p>
    <w:p w14:paraId="76AEE9C8">
      <w:pPr>
        <w:spacing w:line="560" w:lineRule="exact"/>
        <w:ind w:firstLine="643" w:firstLineChars="200"/>
        <w:rPr>
          <w:rFonts w:ascii="仿宋_GB2312" w:eastAsia="仿宋_GB2312"/>
          <w:b/>
          <w:kern w:val="0"/>
          <w:sz w:val="32"/>
          <w:szCs w:val="32"/>
        </w:rPr>
      </w:pPr>
      <w:r>
        <w:rPr>
          <w:rFonts w:hint="eastAsia" w:ascii="仿宋_GB2312" w:eastAsia="仿宋_GB2312"/>
          <w:b/>
          <w:kern w:val="0"/>
          <w:sz w:val="32"/>
          <w:szCs w:val="32"/>
        </w:rPr>
        <w:t>第十二条 房屋的交还</w:t>
      </w:r>
    </w:p>
    <w:p w14:paraId="46148583">
      <w:pPr>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1、租赁期届满或提前解除租赁协议的情况下，租赁房屋的交还按以下约定执行：</w:t>
      </w:r>
    </w:p>
    <w:p w14:paraId="230BBCC0">
      <w:pPr>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1.1  甲乙双方共同认定乙方所交还房屋及各种设施是完好无损且乙方已结清租赁期间的各类费用，甲方将乙方缴纳的保证金无息退还乙方，如提前解除租赁协议且属双方免责的情况，甲方将剩余租赁期的租金部分无息退还乙方。</w:t>
      </w:r>
    </w:p>
    <w:p w14:paraId="0AB3371B">
      <w:pPr>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1.2  乙方交还的房屋及设施发生了损毁需要赔偿或乙方没有结清租赁期间的各类费用，所需费用从租赁保证金中扣除，如租赁保证金不足，不足部分也由乙方承担，在收到甲方通知后的五个工作日内补交差额；如乙方缴纳的租赁保证金在扣除各种所需费用后仍有剩余，甲方将剩余的租赁保证金无息退还乙方。</w:t>
      </w:r>
    </w:p>
    <w:p w14:paraId="1603F469">
      <w:pPr>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2、</w:t>
      </w:r>
      <w:r>
        <w:rPr>
          <w:rFonts w:hint="eastAsia" w:ascii="仿宋_GB2312" w:eastAsia="仿宋_GB2312"/>
          <w:color w:val="000000"/>
          <w:kern w:val="0"/>
          <w:sz w:val="32"/>
          <w:szCs w:val="32"/>
        </w:rPr>
        <w:t>无论租赁期满还是提前解除租赁协议，</w:t>
      </w:r>
      <w:r>
        <w:rPr>
          <w:rFonts w:hint="eastAsia" w:ascii="仿宋_GB2312" w:eastAsia="仿宋_GB2312"/>
          <w:kern w:val="0"/>
          <w:sz w:val="32"/>
          <w:szCs w:val="32"/>
        </w:rPr>
        <w:t>在交还房屋时，乙方购置的固定在房屋墙面、地面、顶棚上的各种设备、设施及装修不得拆除，</w:t>
      </w:r>
      <w:r>
        <w:rPr>
          <w:rFonts w:hint="eastAsia" w:ascii="仿宋_GB2312" w:eastAsia="仿宋_GB2312"/>
          <w:color w:val="000000"/>
          <w:kern w:val="0"/>
          <w:sz w:val="32"/>
          <w:szCs w:val="32"/>
        </w:rPr>
        <w:t>其产权无偿划转给甲方。</w:t>
      </w:r>
      <w:r>
        <w:rPr>
          <w:rFonts w:hint="eastAsia" w:ascii="仿宋_GB2312" w:eastAsia="仿宋_GB2312"/>
          <w:kern w:val="0"/>
          <w:sz w:val="32"/>
          <w:szCs w:val="32"/>
        </w:rPr>
        <w:t>乙方应搬走属于自己的可移动物品，完成房屋的保洁。否则，甲方有权自行处理承租房屋内的留置物品，并由乙方承担由此产生的费用。</w:t>
      </w:r>
    </w:p>
    <w:p w14:paraId="6319A898">
      <w:pPr>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3</w:t>
      </w:r>
      <w:r>
        <w:rPr>
          <w:rFonts w:hint="eastAsia" w:ascii="仿宋_GB2312" w:eastAsia="仿宋_GB2312"/>
          <w:color w:val="000000"/>
          <w:kern w:val="0"/>
          <w:sz w:val="32"/>
          <w:szCs w:val="32"/>
        </w:rPr>
        <w:t>、租赁期满且甲乙双方没有续签租赁合同或因乙方违反本合同有关约定而解除合同的，乙方须</w:t>
      </w:r>
      <w:r>
        <w:rPr>
          <w:rFonts w:hint="eastAsia" w:ascii="仿宋_GB2312" w:eastAsia="仿宋_GB2312"/>
          <w:kern w:val="0"/>
          <w:sz w:val="32"/>
          <w:szCs w:val="32"/>
        </w:rPr>
        <w:t>在甲方书面通知30个自然日内及时搬离并交还房产；若乙方不搬离造成拖延交房的，乙方除缴纳约定的违约金外，还须缴纳拖延期的房产占用费，拖延期的房产占用费按原租赁协议约定正常租金标准的三倍收取，即拖延期的房产占用费=（租房协议期满年份年租金总额÷365×拖延期包含的天数）×3。拖延期从租赁期满之日或乙方违约之日起计算。</w:t>
      </w:r>
    </w:p>
    <w:p w14:paraId="370A7AEB">
      <w:pPr>
        <w:spacing w:line="560" w:lineRule="exact"/>
        <w:ind w:firstLine="643" w:firstLineChars="200"/>
        <w:rPr>
          <w:rFonts w:ascii="仿宋_GB2312" w:eastAsia="仿宋_GB2312"/>
          <w:b/>
          <w:kern w:val="0"/>
          <w:sz w:val="32"/>
          <w:szCs w:val="32"/>
        </w:rPr>
      </w:pPr>
      <w:r>
        <w:rPr>
          <w:rFonts w:hint="eastAsia" w:ascii="仿宋_GB2312" w:eastAsia="仿宋_GB2312"/>
          <w:b/>
          <w:kern w:val="0"/>
          <w:sz w:val="32"/>
          <w:szCs w:val="32"/>
        </w:rPr>
        <w:t>第十三条</w:t>
      </w:r>
      <w:r>
        <w:rPr>
          <w:rFonts w:hint="eastAsia" w:ascii="仿宋_GB2312" w:eastAsia="仿宋_GB2312"/>
          <w:b/>
          <w:kern w:val="0"/>
          <w:sz w:val="32"/>
          <w:szCs w:val="32"/>
          <w:lang w:val="en-US" w:eastAsia="zh-CN"/>
        </w:rPr>
        <w:t xml:space="preserve"> </w:t>
      </w:r>
      <w:r>
        <w:rPr>
          <w:rFonts w:hint="eastAsia" w:ascii="仿宋_GB2312" w:eastAsia="仿宋_GB2312"/>
          <w:b/>
          <w:kern w:val="0"/>
          <w:sz w:val="32"/>
          <w:szCs w:val="32"/>
        </w:rPr>
        <w:t>违约责任</w:t>
      </w:r>
    </w:p>
    <w:p w14:paraId="29042CCC">
      <w:pPr>
        <w:pStyle w:val="2"/>
        <w:ind w:firstLine="640" w:firstLineChars="200"/>
        <w:rPr>
          <w:rFonts w:ascii="仿宋_GB2312" w:eastAsia="仿宋_GB2312"/>
          <w:kern w:val="0"/>
          <w:sz w:val="32"/>
          <w:szCs w:val="32"/>
        </w:rPr>
      </w:pPr>
      <w:r>
        <w:rPr>
          <w:rFonts w:hint="eastAsia" w:ascii="仿宋_GB2312" w:eastAsia="仿宋_GB2312"/>
          <w:kern w:val="0"/>
          <w:sz w:val="32"/>
          <w:szCs w:val="32"/>
        </w:rPr>
        <w:t>1、租赁期内,甲方如因主观原因需提前收回该房屋的,应提前30日书面通知乙方 ,将已收取的租金余额退还乙方。</w:t>
      </w:r>
    </w:p>
    <w:p w14:paraId="73DF3AE2">
      <w:pPr>
        <w:ind w:firstLine="640" w:firstLineChars="200"/>
        <w:jc w:val="left"/>
        <w:rPr>
          <w:rFonts w:ascii="仿宋_GB2312" w:eastAsia="仿宋_GB2312"/>
          <w:kern w:val="0"/>
          <w:sz w:val="32"/>
          <w:szCs w:val="32"/>
        </w:rPr>
      </w:pPr>
      <w:r>
        <w:rPr>
          <w:rFonts w:hint="eastAsia" w:ascii="仿宋_GB2312" w:eastAsia="仿宋_GB2312"/>
          <w:kern w:val="0"/>
          <w:sz w:val="32"/>
          <w:szCs w:val="32"/>
        </w:rPr>
        <w:t>2、乙方擅自对该房屋进行装修、装饰或添置新物的,甲方可以要求乙方恢复原状或者赔偿损失。</w:t>
      </w:r>
    </w:p>
    <w:p w14:paraId="2E95DB28">
      <w:pPr>
        <w:pStyle w:val="2"/>
        <w:ind w:firstLine="640" w:firstLineChars="200"/>
        <w:rPr>
          <w:rFonts w:ascii="仿宋_GB2312" w:eastAsia="仿宋_GB2312"/>
          <w:kern w:val="0"/>
          <w:sz w:val="32"/>
          <w:szCs w:val="32"/>
        </w:rPr>
      </w:pPr>
      <w:r>
        <w:rPr>
          <w:rFonts w:hint="eastAsia" w:ascii="仿宋_GB2312" w:eastAsia="仿宋_GB2312"/>
          <w:kern w:val="0"/>
          <w:sz w:val="32"/>
          <w:szCs w:val="32"/>
        </w:rPr>
        <w:t>3、租赁期内,乙方需提前退租的 ,应提前 30日书面通知甲方,甲方无需退还剩余租金并由乙方按年租金的20%支付违约金。</w:t>
      </w:r>
    </w:p>
    <w:p w14:paraId="480CE4D7">
      <w:pPr>
        <w:ind w:firstLine="540"/>
        <w:jc w:val="left"/>
        <w:rPr>
          <w:rFonts w:ascii="仿宋_GB2312" w:eastAsia="仿宋_GB2312"/>
          <w:kern w:val="0"/>
          <w:sz w:val="32"/>
          <w:szCs w:val="32"/>
        </w:rPr>
      </w:pPr>
      <w:r>
        <w:rPr>
          <w:rFonts w:hint="eastAsia" w:ascii="仿宋_GB2312" w:eastAsia="仿宋_GB2312"/>
          <w:kern w:val="0"/>
          <w:sz w:val="32"/>
          <w:szCs w:val="32"/>
        </w:rPr>
        <w:t>4、合同期满,乙方应如期退还房屋。如果乙方未按期腾空并返还房屋的,视为乙方放弃留置于房屋中的物品所有权,甲方有权进入并腾空、收回房屋。</w:t>
      </w:r>
    </w:p>
    <w:p w14:paraId="543FD988">
      <w:pPr>
        <w:spacing w:line="560" w:lineRule="exact"/>
        <w:ind w:firstLine="643" w:firstLineChars="200"/>
        <w:rPr>
          <w:rFonts w:ascii="仿宋_GB2312" w:eastAsia="仿宋_GB2312"/>
          <w:b/>
          <w:kern w:val="0"/>
          <w:sz w:val="32"/>
          <w:szCs w:val="32"/>
        </w:rPr>
      </w:pPr>
      <w:r>
        <w:rPr>
          <w:rFonts w:hint="eastAsia" w:ascii="仿宋_GB2312" w:eastAsia="仿宋_GB2312"/>
          <w:b/>
          <w:kern w:val="0"/>
          <w:sz w:val="32"/>
          <w:szCs w:val="32"/>
        </w:rPr>
        <w:t>第十四条</w:t>
      </w:r>
      <w:r>
        <w:rPr>
          <w:rFonts w:hint="eastAsia" w:ascii="仿宋_GB2312" w:eastAsia="仿宋_GB2312"/>
          <w:b/>
          <w:kern w:val="0"/>
          <w:sz w:val="32"/>
          <w:szCs w:val="32"/>
          <w:lang w:val="en-US" w:eastAsia="zh-CN"/>
        </w:rPr>
        <w:t xml:space="preserve"> </w:t>
      </w:r>
      <w:r>
        <w:rPr>
          <w:rFonts w:hint="eastAsia" w:ascii="仿宋_GB2312" w:eastAsia="仿宋_GB2312"/>
          <w:b/>
          <w:kern w:val="0"/>
          <w:sz w:val="32"/>
          <w:szCs w:val="32"/>
        </w:rPr>
        <w:t>其他约定条款</w:t>
      </w:r>
    </w:p>
    <w:p w14:paraId="4CA57C37">
      <w:pPr>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1、甲方将租赁的房屋交付给乙方使用，乙方不得在该房屋上或房屋附近进行违章加盖其他建筑，否则产生的不良后果由乙方承担，由此所产生的收益则全部归甲方所有。</w:t>
      </w:r>
    </w:p>
    <w:p w14:paraId="1941A1E8">
      <w:pPr>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2、本合同未尽事宜，经甲、乙双方协商一致，可补充说明或另行订立补充协议。补充协议及附件均为本合同不可分割的一部分，与本合同具有同等法律效力。</w:t>
      </w:r>
    </w:p>
    <w:p w14:paraId="20786F60">
      <w:pPr>
        <w:spacing w:line="560" w:lineRule="exact"/>
        <w:ind w:firstLine="643" w:firstLineChars="200"/>
        <w:rPr>
          <w:rFonts w:ascii="仿宋_GB2312" w:eastAsia="仿宋_GB2312"/>
          <w:b/>
          <w:kern w:val="0"/>
          <w:sz w:val="32"/>
          <w:szCs w:val="32"/>
        </w:rPr>
      </w:pPr>
      <w:r>
        <w:rPr>
          <w:rFonts w:hint="eastAsia" w:ascii="仿宋_GB2312" w:eastAsia="仿宋_GB2312"/>
          <w:b/>
          <w:kern w:val="0"/>
          <w:sz w:val="32"/>
          <w:szCs w:val="32"/>
        </w:rPr>
        <w:t>第十五条</w:t>
      </w:r>
      <w:r>
        <w:rPr>
          <w:rFonts w:hint="eastAsia" w:ascii="仿宋_GB2312" w:eastAsia="仿宋_GB2312"/>
          <w:b/>
          <w:kern w:val="0"/>
          <w:sz w:val="32"/>
          <w:szCs w:val="32"/>
          <w:lang w:val="en-US" w:eastAsia="zh-CN"/>
        </w:rPr>
        <w:t xml:space="preserve"> </w:t>
      </w:r>
      <w:r>
        <w:rPr>
          <w:rFonts w:hint="eastAsia" w:ascii="仿宋_GB2312" w:eastAsia="仿宋_GB2312"/>
          <w:b/>
          <w:kern w:val="0"/>
          <w:sz w:val="32"/>
          <w:szCs w:val="32"/>
        </w:rPr>
        <w:t>争议的解决</w:t>
      </w:r>
    </w:p>
    <w:p w14:paraId="61ADF212">
      <w:pPr>
        <w:spacing w:line="48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双方因履行本合同而发生的争议 ,应友好协商解决，协商不成，双方均可向房屋所在地有管辖权的人民法院起诉，涉诉费用包括但不限于诉讼费、律师费、鉴定费、差旅费，由败诉方承担。</w:t>
      </w:r>
    </w:p>
    <w:p w14:paraId="17A92928">
      <w:pPr>
        <w:spacing w:line="560" w:lineRule="exact"/>
        <w:ind w:firstLine="643" w:firstLineChars="200"/>
        <w:rPr>
          <w:rFonts w:ascii="仿宋_GB2312" w:eastAsia="仿宋_GB2312"/>
          <w:b/>
          <w:kern w:val="0"/>
          <w:sz w:val="32"/>
          <w:szCs w:val="32"/>
        </w:rPr>
      </w:pPr>
      <w:r>
        <w:rPr>
          <w:rFonts w:hint="eastAsia" w:ascii="仿宋_GB2312" w:eastAsia="仿宋_GB2312"/>
          <w:b/>
          <w:kern w:val="0"/>
          <w:sz w:val="32"/>
          <w:szCs w:val="32"/>
        </w:rPr>
        <w:t>第十六条 生效及其他</w:t>
      </w:r>
    </w:p>
    <w:p w14:paraId="7585AB90">
      <w:pPr>
        <w:spacing w:line="560" w:lineRule="exact"/>
        <w:ind w:firstLine="640" w:firstLineChars="200"/>
        <w:rPr>
          <w:rFonts w:ascii="仿宋_GB2312" w:eastAsia="仿宋_GB2312"/>
          <w:spacing w:val="-6"/>
          <w:kern w:val="0"/>
          <w:sz w:val="32"/>
          <w:szCs w:val="32"/>
        </w:rPr>
      </w:pPr>
      <w:r>
        <w:rPr>
          <w:rFonts w:hint="eastAsia" w:ascii="仿宋_GB2312" w:eastAsia="仿宋_GB2312"/>
          <w:kern w:val="0"/>
          <w:sz w:val="32"/>
          <w:szCs w:val="32"/>
        </w:rPr>
        <w:t>本</w:t>
      </w:r>
      <w:r>
        <w:rPr>
          <w:rFonts w:hint="eastAsia" w:ascii="仿宋_GB2312" w:eastAsia="仿宋_GB2312"/>
          <w:spacing w:val="-6"/>
          <w:kern w:val="0"/>
          <w:sz w:val="32"/>
          <w:szCs w:val="32"/>
        </w:rPr>
        <w:t>合同自双方法定代表或授权代表人（须有法人授权委托书）签字并加盖公章或合同专用章</w:t>
      </w:r>
      <w:r>
        <w:rPr>
          <w:rFonts w:hint="eastAsia" w:ascii="仿宋_GB2312" w:eastAsia="仿宋_GB2312"/>
          <w:color w:val="000000"/>
          <w:spacing w:val="-6"/>
          <w:kern w:val="0"/>
          <w:sz w:val="32"/>
          <w:szCs w:val="32"/>
        </w:rPr>
        <w:t>且收到乙方全额租金及保证金</w:t>
      </w:r>
      <w:r>
        <w:rPr>
          <w:rFonts w:hint="eastAsia" w:ascii="仿宋_GB2312" w:eastAsia="仿宋_GB2312"/>
          <w:spacing w:val="-6"/>
          <w:kern w:val="0"/>
          <w:sz w:val="32"/>
          <w:szCs w:val="32"/>
        </w:rPr>
        <w:t>之日起生效（乙方为自然人的，需本人签字按手印并附身份证复印件）。本合同一式肆份，由甲方乙双方各执贰份，均具有同等法律效力。</w:t>
      </w:r>
    </w:p>
    <w:p w14:paraId="5E6D54A0">
      <w:pPr>
        <w:tabs>
          <w:tab w:val="left" w:pos="4680"/>
        </w:tabs>
        <w:spacing w:line="560" w:lineRule="exact"/>
        <w:rPr>
          <w:rFonts w:ascii="仿宋_GB2312" w:eastAsia="仿宋_GB2312"/>
          <w:kern w:val="0"/>
          <w:sz w:val="32"/>
          <w:szCs w:val="32"/>
        </w:rPr>
      </w:pPr>
    </w:p>
    <w:p w14:paraId="6C4245A4">
      <w:pPr>
        <w:tabs>
          <w:tab w:val="left" w:pos="4680"/>
        </w:tabs>
        <w:spacing w:line="560" w:lineRule="exact"/>
        <w:rPr>
          <w:rFonts w:ascii="仿宋_GB2312" w:eastAsia="仿宋_GB2312"/>
          <w:kern w:val="0"/>
          <w:sz w:val="32"/>
          <w:szCs w:val="32"/>
        </w:rPr>
      </w:pPr>
      <w:r>
        <w:rPr>
          <w:rFonts w:hint="eastAsia" w:ascii="仿宋_GB2312" w:eastAsia="仿宋_GB2312"/>
          <w:kern w:val="0"/>
          <w:sz w:val="32"/>
          <w:szCs w:val="32"/>
        </w:rPr>
        <w:t>甲方签章：</w:t>
      </w:r>
      <w:r>
        <w:rPr>
          <w:rFonts w:hint="eastAsia" w:ascii="仿宋_GB2312" w:eastAsia="仿宋_GB2312"/>
          <w:kern w:val="0"/>
          <w:sz w:val="32"/>
          <w:szCs w:val="32"/>
        </w:rPr>
        <w:tab/>
      </w:r>
      <w:r>
        <w:rPr>
          <w:rFonts w:hint="eastAsia" w:ascii="仿宋_GB2312" w:eastAsia="仿宋_GB2312"/>
          <w:kern w:val="0"/>
          <w:sz w:val="32"/>
          <w:szCs w:val="32"/>
        </w:rPr>
        <w:t>乙方签章：</w:t>
      </w:r>
    </w:p>
    <w:p w14:paraId="0A4401D5">
      <w:pPr>
        <w:tabs>
          <w:tab w:val="left" w:pos="4680"/>
        </w:tabs>
        <w:spacing w:line="560" w:lineRule="exact"/>
        <w:rPr>
          <w:rFonts w:ascii="仿宋_GB2312" w:eastAsia="仿宋_GB2312"/>
          <w:kern w:val="0"/>
          <w:sz w:val="32"/>
          <w:szCs w:val="32"/>
        </w:rPr>
      </w:pPr>
      <w:r>
        <w:rPr>
          <w:rFonts w:hint="eastAsia" w:ascii="仿宋_GB2312" w:eastAsia="仿宋_GB2312"/>
          <w:kern w:val="0"/>
          <w:sz w:val="32"/>
          <w:szCs w:val="32"/>
        </w:rPr>
        <w:t>法人</w:t>
      </w:r>
      <w:r>
        <w:rPr>
          <w:rFonts w:hint="eastAsia" w:ascii="仿宋_GB2312" w:eastAsia="仿宋_GB2312"/>
          <w:color w:val="000000"/>
          <w:kern w:val="0"/>
          <w:sz w:val="32"/>
          <w:szCs w:val="32"/>
        </w:rPr>
        <w:t>或授权</w:t>
      </w:r>
      <w:r>
        <w:rPr>
          <w:rFonts w:hint="eastAsia" w:ascii="仿宋_GB2312" w:eastAsia="仿宋_GB2312"/>
          <w:kern w:val="0"/>
          <w:sz w:val="32"/>
          <w:szCs w:val="32"/>
        </w:rPr>
        <w:t>代表签字：</w:t>
      </w:r>
      <w:r>
        <w:rPr>
          <w:rFonts w:hint="eastAsia" w:ascii="仿宋_GB2312" w:eastAsia="仿宋_GB2312"/>
          <w:kern w:val="0"/>
          <w:sz w:val="32"/>
          <w:szCs w:val="32"/>
        </w:rPr>
        <w:tab/>
      </w:r>
      <w:r>
        <w:rPr>
          <w:rFonts w:hint="eastAsia" w:ascii="仿宋_GB2312" w:eastAsia="仿宋_GB2312"/>
          <w:kern w:val="0"/>
          <w:sz w:val="32"/>
          <w:szCs w:val="32"/>
        </w:rPr>
        <w:t>法人</w:t>
      </w:r>
      <w:r>
        <w:rPr>
          <w:rFonts w:hint="eastAsia" w:ascii="仿宋_GB2312" w:eastAsia="仿宋_GB2312"/>
          <w:color w:val="000000"/>
          <w:kern w:val="0"/>
          <w:sz w:val="32"/>
          <w:szCs w:val="32"/>
        </w:rPr>
        <w:t>或授权</w:t>
      </w:r>
      <w:r>
        <w:rPr>
          <w:rFonts w:hint="eastAsia" w:ascii="仿宋_GB2312" w:eastAsia="仿宋_GB2312"/>
          <w:kern w:val="0"/>
          <w:sz w:val="32"/>
          <w:szCs w:val="32"/>
        </w:rPr>
        <w:t>代表签字：</w:t>
      </w:r>
    </w:p>
    <w:p w14:paraId="6590732C">
      <w:pPr>
        <w:tabs>
          <w:tab w:val="left" w:pos="5515"/>
        </w:tabs>
        <w:spacing w:line="560" w:lineRule="exact"/>
        <w:rPr>
          <w:rFonts w:hint="eastAsia" w:ascii="仿宋_GB2312" w:eastAsia="仿宋_GB2312"/>
          <w:kern w:val="0"/>
          <w:sz w:val="32"/>
          <w:szCs w:val="32"/>
        </w:rPr>
      </w:pPr>
      <w:r>
        <w:rPr>
          <w:rFonts w:hint="eastAsia" w:ascii="仿宋_GB2312" w:eastAsia="仿宋_GB2312"/>
          <w:kern w:val="0"/>
          <w:sz w:val="32"/>
          <w:szCs w:val="32"/>
        </w:rPr>
        <w:t xml:space="preserve">      年   月   日                  年   月   日</w:t>
      </w:r>
    </w:p>
    <w:p w14:paraId="5B475895">
      <w:pPr>
        <w:tabs>
          <w:tab w:val="left" w:pos="5515"/>
        </w:tabs>
        <w:spacing w:line="560" w:lineRule="exact"/>
        <w:rPr>
          <w:rFonts w:hint="eastAsia" w:ascii="仿宋_GB2312" w:eastAsia="仿宋_GB2312"/>
          <w:kern w:val="0"/>
          <w:sz w:val="32"/>
          <w:szCs w:val="32"/>
        </w:rPr>
      </w:pPr>
    </w:p>
    <w:p w14:paraId="53091CB7">
      <w:pPr>
        <w:tabs>
          <w:tab w:val="left" w:pos="5515"/>
        </w:tabs>
        <w:spacing w:line="560" w:lineRule="exact"/>
        <w:rPr>
          <w:rFonts w:hint="eastAsia" w:ascii="仿宋_GB2312" w:eastAsia="仿宋_GB2312"/>
          <w:kern w:val="0"/>
          <w:sz w:val="32"/>
          <w:szCs w:val="32"/>
        </w:rPr>
      </w:pPr>
    </w:p>
    <w:p w14:paraId="3524D827">
      <w:pPr>
        <w:tabs>
          <w:tab w:val="left" w:pos="5515"/>
        </w:tabs>
        <w:spacing w:line="560" w:lineRule="exact"/>
        <w:rPr>
          <w:rFonts w:hint="eastAsia" w:ascii="仿宋_GB2312" w:eastAsia="仿宋_GB2312"/>
          <w:kern w:val="0"/>
          <w:sz w:val="32"/>
          <w:szCs w:val="32"/>
        </w:rPr>
      </w:pPr>
    </w:p>
    <w:p w14:paraId="08832EC2">
      <w:pPr>
        <w:tabs>
          <w:tab w:val="left" w:pos="5515"/>
        </w:tabs>
        <w:spacing w:line="560" w:lineRule="exact"/>
        <w:rPr>
          <w:rFonts w:hint="eastAsia" w:ascii="仿宋_GB2312" w:eastAsia="仿宋_GB2312"/>
          <w:kern w:val="0"/>
          <w:sz w:val="32"/>
          <w:szCs w:val="32"/>
        </w:rPr>
      </w:pPr>
    </w:p>
    <w:tbl>
      <w:tblPr>
        <w:tblStyle w:val="5"/>
        <w:tblW w:w="0" w:type="auto"/>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1449"/>
        <w:gridCol w:w="5114"/>
        <w:gridCol w:w="1380"/>
      </w:tblGrid>
      <w:tr w14:paraId="2DF3F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20" w:type="dxa"/>
            <w:gridSpan w:val="3"/>
            <w:tcBorders>
              <w:top w:val="single" w:color="auto" w:sz="4" w:space="0"/>
              <w:left w:val="single" w:color="auto" w:sz="4" w:space="0"/>
              <w:bottom w:val="single" w:color="auto" w:sz="4" w:space="0"/>
              <w:right w:val="single" w:color="auto" w:sz="4" w:space="0"/>
            </w:tcBorders>
            <w:vAlign w:val="center"/>
          </w:tcPr>
          <w:p w14:paraId="1BA7977D">
            <w:pPr>
              <w:widowControl/>
              <w:spacing w:after="100" w:afterAutospacing="1"/>
              <w:rPr>
                <w:rFonts w:eastAsia="黑体"/>
                <w:color w:val="000000"/>
                <w:kern w:val="0"/>
                <w:sz w:val="24"/>
              </w:rPr>
            </w:pPr>
            <w:r>
              <w:rPr>
                <w:rFonts w:hint="eastAsia" w:eastAsia="黑体"/>
                <w:bCs/>
                <w:color w:val="000000"/>
                <w:kern w:val="0"/>
                <w:sz w:val="32"/>
                <w:szCs w:val="32"/>
              </w:rPr>
              <w:t>租赁合同附件：房屋交接书</w:t>
            </w:r>
          </w:p>
        </w:tc>
        <w:tc>
          <w:tcPr>
            <w:tcW w:w="1380" w:type="dxa"/>
            <w:tcBorders>
              <w:top w:val="single" w:color="auto" w:sz="4" w:space="0"/>
              <w:left w:val="single" w:color="auto" w:sz="4" w:space="0"/>
              <w:bottom w:val="single" w:color="auto" w:sz="4" w:space="0"/>
              <w:right w:val="single" w:color="auto" w:sz="4" w:space="0"/>
            </w:tcBorders>
            <w:vAlign w:val="center"/>
          </w:tcPr>
          <w:p w14:paraId="05ACD7CC">
            <w:pPr>
              <w:widowControl/>
              <w:spacing w:after="100" w:afterAutospacing="1"/>
              <w:rPr>
                <w:rFonts w:eastAsia="黑体"/>
                <w:color w:val="000000"/>
                <w:kern w:val="0"/>
                <w:sz w:val="24"/>
              </w:rPr>
            </w:pPr>
            <w:r>
              <w:rPr>
                <w:rFonts w:hint="eastAsia" w:eastAsia="黑体"/>
                <w:bCs/>
                <w:color w:val="000000"/>
                <w:kern w:val="0"/>
                <w:sz w:val="32"/>
                <w:szCs w:val="32"/>
              </w:rPr>
              <w:t>备注</w:t>
            </w:r>
          </w:p>
        </w:tc>
      </w:tr>
      <w:tr w14:paraId="0D76B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trPr>
        <w:tc>
          <w:tcPr>
            <w:tcW w:w="457" w:type="dxa"/>
            <w:tcBorders>
              <w:top w:val="single" w:color="auto" w:sz="4" w:space="0"/>
              <w:left w:val="single" w:color="auto" w:sz="4" w:space="0"/>
              <w:bottom w:val="single" w:color="auto" w:sz="4" w:space="0"/>
              <w:right w:val="single" w:color="auto" w:sz="4" w:space="0"/>
            </w:tcBorders>
            <w:vAlign w:val="center"/>
          </w:tcPr>
          <w:p w14:paraId="50453B68">
            <w:pPr>
              <w:widowControl/>
              <w:spacing w:after="150" w:line="420" w:lineRule="atLeast"/>
              <w:rPr>
                <w:b/>
                <w:bCs/>
                <w:color w:val="000000"/>
                <w:kern w:val="0"/>
                <w:sz w:val="24"/>
              </w:rPr>
            </w:pPr>
            <w:r>
              <w:rPr>
                <w:rFonts w:hint="eastAsia" w:hAnsi="宋体"/>
                <w:b/>
                <w:bCs/>
                <w:color w:val="000000"/>
                <w:kern w:val="0"/>
                <w:sz w:val="24"/>
              </w:rPr>
              <w:t>一</w:t>
            </w:r>
          </w:p>
        </w:tc>
        <w:tc>
          <w:tcPr>
            <w:tcW w:w="1449" w:type="dxa"/>
            <w:tcBorders>
              <w:top w:val="single" w:color="auto" w:sz="4" w:space="0"/>
              <w:left w:val="single" w:color="auto" w:sz="4" w:space="0"/>
              <w:bottom w:val="single" w:color="auto" w:sz="4" w:space="0"/>
              <w:right w:val="single" w:color="auto" w:sz="4" w:space="0"/>
            </w:tcBorders>
            <w:vAlign w:val="center"/>
          </w:tcPr>
          <w:p w14:paraId="282EA150">
            <w:pPr>
              <w:widowControl/>
              <w:spacing w:after="150" w:line="420" w:lineRule="atLeast"/>
              <w:rPr>
                <w:bCs/>
                <w:color w:val="000000"/>
                <w:kern w:val="0"/>
                <w:sz w:val="24"/>
              </w:rPr>
            </w:pPr>
            <w:r>
              <w:rPr>
                <w:rFonts w:hint="eastAsia" w:hAnsi="宋体"/>
                <w:bCs/>
                <w:color w:val="000000"/>
                <w:kern w:val="0"/>
                <w:sz w:val="24"/>
              </w:rPr>
              <w:t>房屋装修</w:t>
            </w:r>
          </w:p>
          <w:p w14:paraId="08CD4EB9">
            <w:pPr>
              <w:widowControl/>
              <w:spacing w:after="150" w:line="420" w:lineRule="atLeast"/>
              <w:rPr>
                <w:bCs/>
                <w:color w:val="000000"/>
                <w:kern w:val="0"/>
                <w:sz w:val="24"/>
              </w:rPr>
            </w:pPr>
            <w:r>
              <w:rPr>
                <w:rFonts w:hint="eastAsia" w:hAnsi="宋体"/>
                <w:bCs/>
                <w:color w:val="000000"/>
                <w:kern w:val="0"/>
                <w:sz w:val="24"/>
              </w:rPr>
              <w:t>情况</w:t>
            </w:r>
          </w:p>
        </w:tc>
        <w:tc>
          <w:tcPr>
            <w:tcW w:w="5114" w:type="dxa"/>
            <w:tcBorders>
              <w:top w:val="single" w:color="auto" w:sz="4" w:space="0"/>
              <w:left w:val="single" w:color="auto" w:sz="4" w:space="0"/>
              <w:bottom w:val="single" w:color="auto" w:sz="4" w:space="0"/>
              <w:right w:val="single" w:color="auto" w:sz="4" w:space="0"/>
            </w:tcBorders>
            <w:vAlign w:val="center"/>
          </w:tcPr>
          <w:p w14:paraId="6B65AA38">
            <w:pPr>
              <w:widowControl/>
              <w:spacing w:after="150" w:line="240" w:lineRule="atLeast"/>
              <w:jc w:val="left"/>
              <w:rPr>
                <w:color w:val="000000"/>
                <w:kern w:val="0"/>
                <w:sz w:val="24"/>
              </w:rPr>
            </w:pPr>
          </w:p>
          <w:p w14:paraId="32C54C8A">
            <w:pPr>
              <w:widowControl/>
              <w:spacing w:after="150" w:line="240" w:lineRule="atLeast"/>
              <w:jc w:val="left"/>
              <w:rPr>
                <w:color w:val="000000"/>
                <w:kern w:val="0"/>
                <w:sz w:val="24"/>
              </w:rPr>
            </w:pPr>
            <w:r>
              <w:rPr>
                <w:rFonts w:hint="eastAsia"/>
                <w:color w:val="000000"/>
                <w:kern w:val="0"/>
                <w:sz w:val="24"/>
              </w:rPr>
              <w:t>自装</w:t>
            </w:r>
          </w:p>
          <w:p w14:paraId="4326D9ED">
            <w:pPr>
              <w:widowControl/>
              <w:spacing w:after="150" w:line="240" w:lineRule="atLeast"/>
              <w:jc w:val="left"/>
              <w:rPr>
                <w:color w:val="000000"/>
                <w:kern w:val="0"/>
                <w:sz w:val="24"/>
              </w:rPr>
            </w:pPr>
          </w:p>
          <w:p w14:paraId="76A925FE">
            <w:pPr>
              <w:widowControl/>
              <w:spacing w:after="150" w:line="240" w:lineRule="atLeast"/>
              <w:jc w:val="left"/>
              <w:rPr>
                <w:color w:val="000000"/>
                <w:kern w:val="0"/>
                <w:sz w:val="24"/>
              </w:rPr>
            </w:pPr>
          </w:p>
          <w:p w14:paraId="3AB21A46">
            <w:pPr>
              <w:widowControl/>
              <w:spacing w:after="150" w:line="240" w:lineRule="atLeast"/>
              <w:jc w:val="left"/>
              <w:rPr>
                <w:color w:val="000000"/>
                <w:kern w:val="0"/>
                <w:sz w:val="24"/>
              </w:rPr>
            </w:pPr>
          </w:p>
        </w:tc>
        <w:tc>
          <w:tcPr>
            <w:tcW w:w="1380" w:type="dxa"/>
            <w:tcBorders>
              <w:top w:val="single" w:color="auto" w:sz="4" w:space="0"/>
              <w:left w:val="single" w:color="auto" w:sz="4" w:space="0"/>
              <w:bottom w:val="single" w:color="auto" w:sz="4" w:space="0"/>
              <w:right w:val="single" w:color="auto" w:sz="4" w:space="0"/>
            </w:tcBorders>
            <w:vAlign w:val="center"/>
          </w:tcPr>
          <w:p w14:paraId="586CE8B7">
            <w:pPr>
              <w:widowControl/>
              <w:spacing w:after="150" w:line="240" w:lineRule="atLeast"/>
              <w:jc w:val="left"/>
              <w:rPr>
                <w:color w:val="000000"/>
                <w:kern w:val="0"/>
                <w:sz w:val="24"/>
              </w:rPr>
            </w:pPr>
          </w:p>
        </w:tc>
      </w:tr>
      <w:tr w14:paraId="5DFBC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trPr>
        <w:tc>
          <w:tcPr>
            <w:tcW w:w="457" w:type="dxa"/>
            <w:tcBorders>
              <w:top w:val="single" w:color="auto" w:sz="4" w:space="0"/>
              <w:left w:val="single" w:color="auto" w:sz="4" w:space="0"/>
              <w:bottom w:val="single" w:color="auto" w:sz="4" w:space="0"/>
              <w:right w:val="single" w:color="auto" w:sz="4" w:space="0"/>
            </w:tcBorders>
            <w:vAlign w:val="center"/>
          </w:tcPr>
          <w:p w14:paraId="3C6CCB24">
            <w:pPr>
              <w:widowControl/>
              <w:spacing w:after="150" w:line="420" w:lineRule="atLeast"/>
              <w:rPr>
                <w:b/>
                <w:bCs/>
                <w:color w:val="000000"/>
                <w:kern w:val="0"/>
                <w:sz w:val="24"/>
              </w:rPr>
            </w:pPr>
            <w:r>
              <w:rPr>
                <w:rFonts w:hint="eastAsia" w:hAnsi="宋体"/>
                <w:b/>
                <w:bCs/>
                <w:color w:val="000000"/>
                <w:kern w:val="0"/>
                <w:sz w:val="24"/>
              </w:rPr>
              <w:t>二</w:t>
            </w:r>
          </w:p>
        </w:tc>
        <w:tc>
          <w:tcPr>
            <w:tcW w:w="1449" w:type="dxa"/>
            <w:tcBorders>
              <w:top w:val="single" w:color="auto" w:sz="4" w:space="0"/>
              <w:left w:val="single" w:color="auto" w:sz="4" w:space="0"/>
              <w:bottom w:val="single" w:color="auto" w:sz="4" w:space="0"/>
              <w:right w:val="single" w:color="auto" w:sz="4" w:space="0"/>
            </w:tcBorders>
            <w:vAlign w:val="center"/>
          </w:tcPr>
          <w:p w14:paraId="09013F4F">
            <w:pPr>
              <w:widowControl/>
              <w:spacing w:after="150" w:line="420" w:lineRule="atLeast"/>
              <w:rPr>
                <w:bCs/>
                <w:color w:val="000000"/>
                <w:kern w:val="0"/>
                <w:sz w:val="24"/>
              </w:rPr>
            </w:pPr>
            <w:r>
              <w:rPr>
                <w:rFonts w:hint="eastAsia" w:hAnsi="宋体"/>
                <w:bCs/>
                <w:color w:val="000000"/>
                <w:kern w:val="0"/>
                <w:sz w:val="24"/>
              </w:rPr>
              <w:t>房屋附属</w:t>
            </w:r>
          </w:p>
          <w:p w14:paraId="7BEAE17E">
            <w:pPr>
              <w:widowControl/>
              <w:spacing w:after="150" w:line="420" w:lineRule="atLeast"/>
              <w:rPr>
                <w:bCs/>
                <w:color w:val="000000"/>
                <w:kern w:val="0"/>
                <w:sz w:val="24"/>
              </w:rPr>
            </w:pPr>
            <w:r>
              <w:rPr>
                <w:rFonts w:hint="eastAsia" w:hAnsi="宋体"/>
                <w:bCs/>
                <w:color w:val="000000"/>
                <w:kern w:val="0"/>
                <w:sz w:val="24"/>
              </w:rPr>
              <w:t>设施清单</w:t>
            </w:r>
          </w:p>
        </w:tc>
        <w:tc>
          <w:tcPr>
            <w:tcW w:w="5114" w:type="dxa"/>
            <w:tcBorders>
              <w:top w:val="single" w:color="auto" w:sz="4" w:space="0"/>
              <w:left w:val="single" w:color="auto" w:sz="4" w:space="0"/>
              <w:bottom w:val="single" w:color="auto" w:sz="4" w:space="0"/>
              <w:right w:val="single" w:color="auto" w:sz="4" w:space="0"/>
            </w:tcBorders>
            <w:vAlign w:val="center"/>
          </w:tcPr>
          <w:p w14:paraId="554351AB">
            <w:pPr>
              <w:widowControl/>
              <w:spacing w:after="150" w:line="240" w:lineRule="atLeast"/>
              <w:jc w:val="left"/>
              <w:rPr>
                <w:color w:val="000000"/>
                <w:kern w:val="0"/>
                <w:sz w:val="24"/>
              </w:rPr>
            </w:pPr>
          </w:p>
          <w:p w14:paraId="181C5984">
            <w:pPr>
              <w:widowControl/>
              <w:spacing w:after="150" w:line="240" w:lineRule="atLeast"/>
              <w:jc w:val="left"/>
              <w:rPr>
                <w:color w:val="000000"/>
                <w:kern w:val="0"/>
                <w:sz w:val="24"/>
              </w:rPr>
            </w:pPr>
          </w:p>
          <w:p w14:paraId="0CA38482">
            <w:pPr>
              <w:widowControl/>
              <w:spacing w:after="150" w:line="240" w:lineRule="atLeast"/>
              <w:jc w:val="left"/>
              <w:rPr>
                <w:color w:val="000000"/>
                <w:kern w:val="0"/>
                <w:sz w:val="24"/>
              </w:rPr>
            </w:pPr>
          </w:p>
          <w:p w14:paraId="1443F385">
            <w:pPr>
              <w:widowControl/>
              <w:spacing w:after="150" w:line="240" w:lineRule="atLeast"/>
              <w:jc w:val="left"/>
              <w:rPr>
                <w:color w:val="000000"/>
                <w:kern w:val="0"/>
                <w:sz w:val="24"/>
              </w:rPr>
            </w:pPr>
            <w:r>
              <w:rPr>
                <w:rFonts w:hint="eastAsia"/>
                <w:color w:val="000000"/>
                <w:kern w:val="0"/>
                <w:sz w:val="24"/>
              </w:rPr>
              <w:t>门</w:t>
            </w:r>
            <w:r>
              <w:rPr>
                <w:color w:val="000000"/>
                <w:kern w:val="0"/>
                <w:sz w:val="24"/>
              </w:rPr>
              <w:t xml:space="preserve">.  </w:t>
            </w:r>
            <w:r>
              <w:rPr>
                <w:rFonts w:hint="eastAsia"/>
                <w:color w:val="000000"/>
                <w:kern w:val="0"/>
                <w:sz w:val="24"/>
              </w:rPr>
              <w:t>窗</w:t>
            </w:r>
          </w:p>
          <w:p w14:paraId="61EC9FB8">
            <w:pPr>
              <w:widowControl/>
              <w:spacing w:after="150" w:line="240" w:lineRule="atLeast"/>
              <w:jc w:val="left"/>
              <w:rPr>
                <w:color w:val="000000"/>
                <w:kern w:val="0"/>
                <w:sz w:val="24"/>
              </w:rPr>
            </w:pPr>
          </w:p>
          <w:p w14:paraId="0232325C">
            <w:pPr>
              <w:widowControl/>
              <w:spacing w:after="150" w:line="240" w:lineRule="atLeast"/>
              <w:jc w:val="left"/>
              <w:rPr>
                <w:color w:val="000000"/>
                <w:kern w:val="0"/>
                <w:sz w:val="24"/>
              </w:rPr>
            </w:pPr>
          </w:p>
          <w:p w14:paraId="247B220B">
            <w:pPr>
              <w:widowControl/>
              <w:spacing w:after="150" w:line="240" w:lineRule="atLeast"/>
              <w:jc w:val="left"/>
              <w:rPr>
                <w:color w:val="000000"/>
                <w:kern w:val="0"/>
                <w:sz w:val="24"/>
              </w:rPr>
            </w:pPr>
          </w:p>
        </w:tc>
        <w:tc>
          <w:tcPr>
            <w:tcW w:w="1380" w:type="dxa"/>
            <w:tcBorders>
              <w:top w:val="single" w:color="auto" w:sz="4" w:space="0"/>
              <w:left w:val="single" w:color="auto" w:sz="4" w:space="0"/>
              <w:bottom w:val="single" w:color="auto" w:sz="4" w:space="0"/>
              <w:right w:val="single" w:color="auto" w:sz="4" w:space="0"/>
            </w:tcBorders>
            <w:vAlign w:val="center"/>
          </w:tcPr>
          <w:p w14:paraId="0526995E">
            <w:pPr>
              <w:widowControl/>
              <w:spacing w:after="150" w:line="240" w:lineRule="atLeast"/>
              <w:jc w:val="left"/>
              <w:rPr>
                <w:color w:val="000000"/>
                <w:kern w:val="0"/>
                <w:sz w:val="24"/>
              </w:rPr>
            </w:pPr>
          </w:p>
        </w:tc>
      </w:tr>
      <w:tr w14:paraId="29DFC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457" w:type="dxa"/>
            <w:vMerge w:val="restart"/>
            <w:tcBorders>
              <w:top w:val="single" w:color="auto" w:sz="4" w:space="0"/>
              <w:left w:val="single" w:color="auto" w:sz="4" w:space="0"/>
              <w:bottom w:val="single" w:color="auto" w:sz="4" w:space="0"/>
              <w:right w:val="single" w:color="auto" w:sz="4" w:space="0"/>
            </w:tcBorders>
            <w:vAlign w:val="center"/>
          </w:tcPr>
          <w:p w14:paraId="324566B7">
            <w:pPr>
              <w:widowControl/>
              <w:spacing w:after="150" w:line="420" w:lineRule="atLeast"/>
              <w:rPr>
                <w:b/>
                <w:bCs/>
                <w:color w:val="000000"/>
                <w:kern w:val="0"/>
                <w:sz w:val="24"/>
              </w:rPr>
            </w:pPr>
            <w:r>
              <w:rPr>
                <w:rFonts w:hint="eastAsia" w:hAnsi="宋体"/>
                <w:b/>
                <w:bCs/>
                <w:color w:val="000000"/>
                <w:kern w:val="0"/>
                <w:sz w:val="24"/>
              </w:rPr>
              <w:t>三</w:t>
            </w:r>
          </w:p>
        </w:tc>
        <w:tc>
          <w:tcPr>
            <w:tcW w:w="1449" w:type="dxa"/>
            <w:tcBorders>
              <w:top w:val="single" w:color="auto" w:sz="4" w:space="0"/>
              <w:left w:val="single" w:color="auto" w:sz="4" w:space="0"/>
              <w:bottom w:val="single" w:color="auto" w:sz="4" w:space="0"/>
              <w:right w:val="single" w:color="auto" w:sz="4" w:space="0"/>
            </w:tcBorders>
            <w:vAlign w:val="center"/>
          </w:tcPr>
          <w:p w14:paraId="124D03F9">
            <w:pPr>
              <w:widowControl/>
              <w:spacing w:after="150" w:line="420" w:lineRule="atLeast"/>
              <w:rPr>
                <w:bCs/>
                <w:color w:val="000000"/>
                <w:kern w:val="0"/>
                <w:sz w:val="24"/>
              </w:rPr>
            </w:pPr>
            <w:r>
              <w:rPr>
                <w:rFonts w:hint="eastAsia" w:hAnsi="宋体"/>
                <w:bCs/>
                <w:color w:val="000000"/>
                <w:kern w:val="0"/>
                <w:sz w:val="24"/>
              </w:rPr>
              <w:t>水表读数</w:t>
            </w:r>
            <w:r>
              <w:rPr>
                <w:bCs/>
                <w:color w:val="000000"/>
                <w:kern w:val="0"/>
                <w:sz w:val="24"/>
              </w:rPr>
              <w:t>1</w:t>
            </w:r>
          </w:p>
        </w:tc>
        <w:tc>
          <w:tcPr>
            <w:tcW w:w="5114" w:type="dxa"/>
            <w:tcBorders>
              <w:top w:val="single" w:color="auto" w:sz="4" w:space="0"/>
              <w:left w:val="single" w:color="auto" w:sz="4" w:space="0"/>
              <w:bottom w:val="single" w:color="auto" w:sz="4" w:space="0"/>
              <w:right w:val="single" w:color="auto" w:sz="4" w:space="0"/>
            </w:tcBorders>
            <w:vAlign w:val="center"/>
          </w:tcPr>
          <w:p w14:paraId="28ACAB47">
            <w:pPr>
              <w:widowControl/>
              <w:spacing w:after="150" w:line="240" w:lineRule="atLeast"/>
              <w:jc w:val="left"/>
              <w:rPr>
                <w:color w:val="000000"/>
                <w:kern w:val="0"/>
                <w:sz w:val="24"/>
              </w:rPr>
            </w:pPr>
            <w:r>
              <w:rPr>
                <w:rFonts w:hint="eastAsia"/>
                <w:color w:val="000000"/>
                <w:kern w:val="0"/>
                <w:sz w:val="24"/>
              </w:rPr>
              <w:t>按当月用量自缴</w:t>
            </w:r>
          </w:p>
        </w:tc>
        <w:tc>
          <w:tcPr>
            <w:tcW w:w="1380" w:type="dxa"/>
            <w:vMerge w:val="restart"/>
            <w:tcBorders>
              <w:top w:val="single" w:color="auto" w:sz="4" w:space="0"/>
              <w:left w:val="single" w:color="auto" w:sz="4" w:space="0"/>
              <w:bottom w:val="single" w:color="auto" w:sz="4" w:space="0"/>
              <w:right w:val="single" w:color="auto" w:sz="4" w:space="0"/>
            </w:tcBorders>
            <w:vAlign w:val="center"/>
          </w:tcPr>
          <w:p w14:paraId="4F760D82">
            <w:pPr>
              <w:widowControl/>
              <w:spacing w:after="150" w:line="240" w:lineRule="atLeast"/>
              <w:jc w:val="left"/>
              <w:rPr>
                <w:color w:val="000000"/>
                <w:kern w:val="0"/>
                <w:sz w:val="24"/>
              </w:rPr>
            </w:pPr>
          </w:p>
        </w:tc>
      </w:tr>
      <w:tr w14:paraId="3FD79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7D0D5724">
            <w:pPr>
              <w:widowControl/>
              <w:jc w:val="left"/>
              <w:rPr>
                <w:b/>
                <w:bCs/>
                <w:color w:val="000000"/>
                <w:kern w:val="0"/>
                <w:sz w:val="24"/>
              </w:rPr>
            </w:pPr>
          </w:p>
        </w:tc>
        <w:tc>
          <w:tcPr>
            <w:tcW w:w="1449" w:type="dxa"/>
            <w:tcBorders>
              <w:top w:val="single" w:color="auto" w:sz="4" w:space="0"/>
              <w:left w:val="single" w:color="auto" w:sz="4" w:space="0"/>
              <w:bottom w:val="single" w:color="auto" w:sz="4" w:space="0"/>
              <w:right w:val="single" w:color="auto" w:sz="4" w:space="0"/>
            </w:tcBorders>
            <w:vAlign w:val="center"/>
          </w:tcPr>
          <w:p w14:paraId="1AD38B9E">
            <w:pPr>
              <w:widowControl/>
              <w:spacing w:after="150" w:line="420" w:lineRule="atLeast"/>
              <w:rPr>
                <w:bCs/>
                <w:color w:val="000000"/>
                <w:kern w:val="0"/>
                <w:sz w:val="24"/>
              </w:rPr>
            </w:pPr>
            <w:r>
              <w:rPr>
                <w:rFonts w:hint="eastAsia" w:hAnsi="宋体"/>
                <w:bCs/>
                <w:color w:val="000000"/>
                <w:kern w:val="0"/>
                <w:sz w:val="24"/>
              </w:rPr>
              <w:t>水表读数</w:t>
            </w:r>
            <w:r>
              <w:rPr>
                <w:bCs/>
                <w:color w:val="000000"/>
                <w:kern w:val="0"/>
                <w:sz w:val="24"/>
              </w:rPr>
              <w:t>2</w:t>
            </w:r>
          </w:p>
        </w:tc>
        <w:tc>
          <w:tcPr>
            <w:tcW w:w="5114" w:type="dxa"/>
            <w:tcBorders>
              <w:top w:val="single" w:color="auto" w:sz="4" w:space="0"/>
              <w:left w:val="single" w:color="auto" w:sz="4" w:space="0"/>
              <w:bottom w:val="single" w:color="auto" w:sz="4" w:space="0"/>
              <w:right w:val="single" w:color="auto" w:sz="4" w:space="0"/>
            </w:tcBorders>
            <w:vAlign w:val="center"/>
          </w:tcPr>
          <w:p w14:paraId="71125FE4">
            <w:pPr>
              <w:widowControl/>
              <w:spacing w:after="150" w:line="240" w:lineRule="atLeast"/>
              <w:jc w:val="left"/>
              <w:rPr>
                <w:color w:val="000000"/>
                <w:kern w:val="0"/>
                <w:sz w:val="24"/>
              </w:rPr>
            </w:pPr>
            <w:r>
              <w:rPr>
                <w:rFonts w:hint="eastAsia"/>
                <w:color w:val="000000"/>
                <w:kern w:val="0"/>
                <w:sz w:val="24"/>
              </w:rPr>
              <w:t>否</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158F463">
            <w:pPr>
              <w:widowControl/>
              <w:jc w:val="left"/>
              <w:rPr>
                <w:color w:val="000000"/>
                <w:kern w:val="0"/>
                <w:sz w:val="24"/>
              </w:rPr>
            </w:pPr>
          </w:p>
        </w:tc>
      </w:tr>
      <w:tr w14:paraId="0174B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57" w:type="dxa"/>
            <w:vMerge w:val="restart"/>
            <w:tcBorders>
              <w:top w:val="single" w:color="auto" w:sz="4" w:space="0"/>
              <w:left w:val="single" w:color="auto" w:sz="4" w:space="0"/>
              <w:bottom w:val="single" w:color="auto" w:sz="4" w:space="0"/>
              <w:right w:val="single" w:color="auto" w:sz="4" w:space="0"/>
            </w:tcBorders>
            <w:vAlign w:val="center"/>
          </w:tcPr>
          <w:p w14:paraId="08DADE00">
            <w:pPr>
              <w:widowControl/>
              <w:spacing w:after="150" w:line="420" w:lineRule="atLeast"/>
              <w:rPr>
                <w:bCs/>
                <w:color w:val="000000"/>
                <w:kern w:val="0"/>
                <w:sz w:val="24"/>
              </w:rPr>
            </w:pPr>
            <w:r>
              <w:rPr>
                <w:rFonts w:hint="eastAsia" w:hAnsi="宋体"/>
                <w:bCs/>
                <w:color w:val="000000"/>
                <w:kern w:val="0"/>
                <w:sz w:val="24"/>
              </w:rPr>
              <w:t>四</w:t>
            </w:r>
          </w:p>
        </w:tc>
        <w:tc>
          <w:tcPr>
            <w:tcW w:w="1449" w:type="dxa"/>
            <w:tcBorders>
              <w:top w:val="single" w:color="auto" w:sz="4" w:space="0"/>
              <w:left w:val="single" w:color="auto" w:sz="4" w:space="0"/>
              <w:bottom w:val="single" w:color="auto" w:sz="4" w:space="0"/>
              <w:right w:val="single" w:color="auto" w:sz="4" w:space="0"/>
            </w:tcBorders>
            <w:vAlign w:val="center"/>
          </w:tcPr>
          <w:p w14:paraId="32B09941">
            <w:pPr>
              <w:widowControl/>
              <w:spacing w:after="150" w:line="420" w:lineRule="atLeast"/>
              <w:rPr>
                <w:bCs/>
                <w:color w:val="000000"/>
                <w:kern w:val="0"/>
                <w:sz w:val="24"/>
              </w:rPr>
            </w:pPr>
            <w:r>
              <w:rPr>
                <w:rFonts w:hint="eastAsia" w:hAnsi="宋体"/>
                <w:bCs/>
                <w:color w:val="000000"/>
                <w:kern w:val="0"/>
                <w:sz w:val="24"/>
              </w:rPr>
              <w:t>电表读数</w:t>
            </w:r>
            <w:r>
              <w:rPr>
                <w:bCs/>
                <w:color w:val="000000"/>
                <w:kern w:val="0"/>
                <w:sz w:val="24"/>
              </w:rPr>
              <w:t>1</w:t>
            </w:r>
          </w:p>
        </w:tc>
        <w:tc>
          <w:tcPr>
            <w:tcW w:w="5114" w:type="dxa"/>
            <w:tcBorders>
              <w:top w:val="single" w:color="auto" w:sz="4" w:space="0"/>
              <w:left w:val="single" w:color="auto" w:sz="4" w:space="0"/>
              <w:bottom w:val="single" w:color="auto" w:sz="4" w:space="0"/>
              <w:right w:val="single" w:color="auto" w:sz="4" w:space="0"/>
            </w:tcBorders>
            <w:vAlign w:val="center"/>
          </w:tcPr>
          <w:p w14:paraId="087E12CC">
            <w:pPr>
              <w:widowControl/>
              <w:spacing w:after="150" w:line="240" w:lineRule="atLeast"/>
              <w:jc w:val="left"/>
              <w:rPr>
                <w:color w:val="000000"/>
                <w:kern w:val="0"/>
                <w:sz w:val="24"/>
              </w:rPr>
            </w:pPr>
            <w:r>
              <w:rPr>
                <w:rFonts w:hint="eastAsia"/>
                <w:color w:val="000000"/>
                <w:kern w:val="0"/>
                <w:sz w:val="24"/>
              </w:rPr>
              <w:t>按当月用量自缴</w:t>
            </w:r>
          </w:p>
        </w:tc>
        <w:tc>
          <w:tcPr>
            <w:tcW w:w="1380" w:type="dxa"/>
            <w:vMerge w:val="restart"/>
            <w:tcBorders>
              <w:top w:val="single" w:color="auto" w:sz="4" w:space="0"/>
              <w:left w:val="single" w:color="auto" w:sz="4" w:space="0"/>
              <w:bottom w:val="single" w:color="auto" w:sz="4" w:space="0"/>
              <w:right w:val="single" w:color="auto" w:sz="4" w:space="0"/>
            </w:tcBorders>
            <w:vAlign w:val="center"/>
          </w:tcPr>
          <w:p w14:paraId="43AE9CD9">
            <w:pPr>
              <w:widowControl/>
              <w:spacing w:after="150" w:line="240" w:lineRule="atLeast"/>
              <w:jc w:val="left"/>
              <w:rPr>
                <w:color w:val="000000"/>
                <w:kern w:val="0"/>
                <w:sz w:val="24"/>
              </w:rPr>
            </w:pPr>
          </w:p>
        </w:tc>
      </w:tr>
      <w:tr w14:paraId="636F2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25671F56">
            <w:pPr>
              <w:widowControl/>
              <w:jc w:val="left"/>
              <w:rPr>
                <w:bCs/>
                <w:color w:val="000000"/>
                <w:kern w:val="0"/>
                <w:sz w:val="24"/>
              </w:rPr>
            </w:pPr>
          </w:p>
        </w:tc>
        <w:tc>
          <w:tcPr>
            <w:tcW w:w="1449" w:type="dxa"/>
            <w:tcBorders>
              <w:top w:val="single" w:color="auto" w:sz="4" w:space="0"/>
              <w:left w:val="single" w:color="auto" w:sz="4" w:space="0"/>
              <w:bottom w:val="single" w:color="auto" w:sz="4" w:space="0"/>
              <w:right w:val="single" w:color="auto" w:sz="4" w:space="0"/>
            </w:tcBorders>
            <w:vAlign w:val="center"/>
          </w:tcPr>
          <w:p w14:paraId="5A921B4F">
            <w:pPr>
              <w:widowControl/>
              <w:spacing w:after="150" w:line="420" w:lineRule="atLeast"/>
              <w:rPr>
                <w:bCs/>
                <w:color w:val="000000"/>
                <w:kern w:val="0"/>
                <w:sz w:val="24"/>
              </w:rPr>
            </w:pPr>
            <w:r>
              <w:rPr>
                <w:rFonts w:hint="eastAsia" w:hAnsi="宋体"/>
                <w:bCs/>
                <w:color w:val="000000"/>
                <w:kern w:val="0"/>
                <w:sz w:val="24"/>
              </w:rPr>
              <w:t>电表读数</w:t>
            </w:r>
            <w:r>
              <w:rPr>
                <w:bCs/>
                <w:color w:val="000000"/>
                <w:kern w:val="0"/>
                <w:sz w:val="24"/>
              </w:rPr>
              <w:t>2</w:t>
            </w:r>
          </w:p>
        </w:tc>
        <w:tc>
          <w:tcPr>
            <w:tcW w:w="5114" w:type="dxa"/>
            <w:tcBorders>
              <w:top w:val="single" w:color="auto" w:sz="4" w:space="0"/>
              <w:left w:val="single" w:color="auto" w:sz="4" w:space="0"/>
              <w:bottom w:val="single" w:color="auto" w:sz="4" w:space="0"/>
              <w:right w:val="single" w:color="auto" w:sz="4" w:space="0"/>
            </w:tcBorders>
            <w:vAlign w:val="center"/>
          </w:tcPr>
          <w:p w14:paraId="22F6F5A5">
            <w:pPr>
              <w:widowControl/>
              <w:spacing w:after="150" w:line="240" w:lineRule="atLeast"/>
              <w:jc w:val="left"/>
              <w:rPr>
                <w:color w:val="000000"/>
                <w:kern w:val="0"/>
                <w:sz w:val="24"/>
              </w:rPr>
            </w:pPr>
            <w:r>
              <w:rPr>
                <w:rFonts w:hint="eastAsia"/>
                <w:color w:val="000000"/>
                <w:kern w:val="0"/>
                <w:sz w:val="24"/>
              </w:rPr>
              <w:t>否</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C8667FF">
            <w:pPr>
              <w:widowControl/>
              <w:jc w:val="left"/>
              <w:rPr>
                <w:color w:val="000000"/>
                <w:kern w:val="0"/>
                <w:sz w:val="24"/>
              </w:rPr>
            </w:pPr>
          </w:p>
        </w:tc>
      </w:tr>
      <w:tr w14:paraId="51ED8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tcBorders>
              <w:top w:val="single" w:color="auto" w:sz="4" w:space="0"/>
              <w:left w:val="single" w:color="auto" w:sz="4" w:space="0"/>
              <w:bottom w:val="single" w:color="auto" w:sz="4" w:space="0"/>
              <w:right w:val="single" w:color="auto" w:sz="4" w:space="0"/>
            </w:tcBorders>
            <w:vAlign w:val="center"/>
          </w:tcPr>
          <w:p w14:paraId="05F899AA">
            <w:pPr>
              <w:widowControl/>
              <w:spacing w:after="150" w:line="420" w:lineRule="atLeast"/>
              <w:rPr>
                <w:bCs/>
                <w:color w:val="000000"/>
                <w:kern w:val="0"/>
                <w:sz w:val="24"/>
              </w:rPr>
            </w:pPr>
            <w:r>
              <w:rPr>
                <w:rFonts w:hint="eastAsia" w:hAnsi="宋体"/>
                <w:bCs/>
                <w:color w:val="000000"/>
                <w:kern w:val="0"/>
                <w:sz w:val="24"/>
              </w:rPr>
              <w:t>五</w:t>
            </w:r>
          </w:p>
        </w:tc>
        <w:tc>
          <w:tcPr>
            <w:tcW w:w="1449" w:type="dxa"/>
            <w:tcBorders>
              <w:top w:val="single" w:color="auto" w:sz="4" w:space="0"/>
              <w:left w:val="single" w:color="auto" w:sz="4" w:space="0"/>
              <w:bottom w:val="single" w:color="auto" w:sz="4" w:space="0"/>
              <w:right w:val="single" w:color="auto" w:sz="4" w:space="0"/>
            </w:tcBorders>
            <w:vAlign w:val="center"/>
          </w:tcPr>
          <w:p w14:paraId="33D660D2">
            <w:pPr>
              <w:widowControl/>
              <w:spacing w:after="150" w:line="420" w:lineRule="atLeast"/>
              <w:rPr>
                <w:bCs/>
                <w:color w:val="000000"/>
                <w:kern w:val="0"/>
                <w:sz w:val="24"/>
              </w:rPr>
            </w:pPr>
            <w:r>
              <w:rPr>
                <w:rFonts w:hint="eastAsia" w:hAnsi="宋体"/>
                <w:bCs/>
                <w:color w:val="000000"/>
                <w:kern w:val="0"/>
                <w:sz w:val="24"/>
              </w:rPr>
              <w:t>其他</w:t>
            </w:r>
          </w:p>
        </w:tc>
        <w:tc>
          <w:tcPr>
            <w:tcW w:w="5114" w:type="dxa"/>
            <w:tcBorders>
              <w:top w:val="single" w:color="auto" w:sz="4" w:space="0"/>
              <w:left w:val="single" w:color="auto" w:sz="4" w:space="0"/>
              <w:bottom w:val="single" w:color="auto" w:sz="4" w:space="0"/>
              <w:right w:val="single" w:color="auto" w:sz="4" w:space="0"/>
            </w:tcBorders>
            <w:vAlign w:val="center"/>
          </w:tcPr>
          <w:p w14:paraId="6BD6ED36">
            <w:pPr>
              <w:widowControl/>
              <w:spacing w:after="150" w:line="240" w:lineRule="atLeast"/>
              <w:jc w:val="left"/>
              <w:rPr>
                <w:color w:val="000000"/>
                <w:kern w:val="0"/>
                <w:sz w:val="24"/>
              </w:rPr>
            </w:pPr>
          </w:p>
          <w:p w14:paraId="008F3DA1">
            <w:pPr>
              <w:widowControl/>
              <w:spacing w:after="150" w:line="240" w:lineRule="atLeast"/>
              <w:jc w:val="left"/>
              <w:rPr>
                <w:color w:val="000000"/>
                <w:kern w:val="0"/>
                <w:sz w:val="24"/>
              </w:rPr>
            </w:pPr>
            <w:r>
              <w:rPr>
                <w:rFonts w:hint="eastAsia"/>
                <w:color w:val="000000"/>
                <w:kern w:val="0"/>
                <w:sz w:val="24"/>
              </w:rPr>
              <w:t>否</w:t>
            </w:r>
          </w:p>
          <w:p w14:paraId="74A28398">
            <w:pPr>
              <w:widowControl/>
              <w:spacing w:after="150" w:line="240" w:lineRule="atLeast"/>
              <w:jc w:val="left"/>
              <w:rPr>
                <w:color w:val="000000"/>
                <w:kern w:val="0"/>
                <w:sz w:val="24"/>
              </w:rPr>
            </w:pPr>
          </w:p>
        </w:tc>
        <w:tc>
          <w:tcPr>
            <w:tcW w:w="1380" w:type="dxa"/>
            <w:tcBorders>
              <w:top w:val="single" w:color="auto" w:sz="4" w:space="0"/>
              <w:left w:val="single" w:color="auto" w:sz="4" w:space="0"/>
              <w:bottom w:val="single" w:color="auto" w:sz="4" w:space="0"/>
              <w:right w:val="single" w:color="auto" w:sz="4" w:space="0"/>
            </w:tcBorders>
            <w:vAlign w:val="center"/>
          </w:tcPr>
          <w:p w14:paraId="10C6B076">
            <w:pPr>
              <w:widowControl/>
              <w:spacing w:after="150" w:line="240" w:lineRule="atLeast"/>
              <w:jc w:val="left"/>
              <w:rPr>
                <w:color w:val="000000"/>
                <w:kern w:val="0"/>
                <w:sz w:val="24"/>
              </w:rPr>
            </w:pPr>
          </w:p>
        </w:tc>
      </w:tr>
      <w:tr w14:paraId="2D697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tcBorders>
              <w:top w:val="single" w:color="auto" w:sz="4" w:space="0"/>
              <w:left w:val="single" w:color="auto" w:sz="4" w:space="0"/>
              <w:bottom w:val="single" w:color="auto" w:sz="4" w:space="0"/>
              <w:right w:val="single" w:color="auto" w:sz="4" w:space="0"/>
            </w:tcBorders>
            <w:vAlign w:val="center"/>
          </w:tcPr>
          <w:p w14:paraId="5011BEDF">
            <w:pPr>
              <w:widowControl/>
              <w:spacing w:after="150" w:line="420" w:lineRule="atLeast"/>
              <w:rPr>
                <w:bCs/>
                <w:color w:val="000000"/>
                <w:kern w:val="0"/>
                <w:sz w:val="24"/>
              </w:rPr>
            </w:pPr>
            <w:r>
              <w:rPr>
                <w:rFonts w:hint="eastAsia" w:hAnsi="宋体"/>
                <w:bCs/>
                <w:color w:val="000000"/>
                <w:kern w:val="0"/>
                <w:sz w:val="24"/>
              </w:rPr>
              <w:t>六</w:t>
            </w:r>
          </w:p>
        </w:tc>
        <w:tc>
          <w:tcPr>
            <w:tcW w:w="1449" w:type="dxa"/>
            <w:tcBorders>
              <w:top w:val="single" w:color="auto" w:sz="4" w:space="0"/>
              <w:left w:val="single" w:color="auto" w:sz="4" w:space="0"/>
              <w:bottom w:val="single" w:color="auto" w:sz="4" w:space="0"/>
              <w:right w:val="single" w:color="auto" w:sz="4" w:space="0"/>
            </w:tcBorders>
            <w:vAlign w:val="center"/>
          </w:tcPr>
          <w:p w14:paraId="78AB1A8B">
            <w:pPr>
              <w:widowControl/>
              <w:spacing w:after="150" w:line="420" w:lineRule="atLeast"/>
              <w:rPr>
                <w:bCs/>
                <w:color w:val="000000"/>
                <w:kern w:val="0"/>
                <w:sz w:val="24"/>
              </w:rPr>
            </w:pPr>
            <w:r>
              <w:rPr>
                <w:rFonts w:hint="eastAsia" w:hAnsi="宋体"/>
                <w:bCs/>
                <w:color w:val="000000"/>
                <w:kern w:val="0"/>
                <w:sz w:val="24"/>
              </w:rPr>
              <w:t>签字</w:t>
            </w:r>
          </w:p>
        </w:tc>
        <w:tc>
          <w:tcPr>
            <w:tcW w:w="6494" w:type="dxa"/>
            <w:gridSpan w:val="2"/>
            <w:tcBorders>
              <w:top w:val="single" w:color="auto" w:sz="4" w:space="0"/>
              <w:left w:val="single" w:color="auto" w:sz="4" w:space="0"/>
              <w:bottom w:val="single" w:color="auto" w:sz="4" w:space="0"/>
              <w:right w:val="single" w:color="auto" w:sz="4" w:space="0"/>
            </w:tcBorders>
            <w:vAlign w:val="center"/>
          </w:tcPr>
          <w:p w14:paraId="2A5AEF49">
            <w:pPr>
              <w:widowControl/>
              <w:spacing w:after="150" w:line="240" w:lineRule="atLeast"/>
              <w:jc w:val="left"/>
              <w:rPr>
                <w:color w:val="000000"/>
                <w:kern w:val="0"/>
                <w:sz w:val="24"/>
              </w:rPr>
            </w:pPr>
            <w:r>
              <w:rPr>
                <w:rFonts w:hint="eastAsia" w:hAnsi="宋体"/>
                <w:color w:val="000000"/>
                <w:kern w:val="0"/>
                <w:sz w:val="24"/>
              </w:rPr>
              <w:t>甲方交房：</w:t>
            </w:r>
            <w:r>
              <w:rPr>
                <w:color w:val="000000"/>
                <w:kern w:val="0"/>
                <w:sz w:val="24"/>
              </w:rPr>
              <w:t xml:space="preserve">                  </w:t>
            </w:r>
            <w:r>
              <w:rPr>
                <w:rFonts w:hint="eastAsia" w:hAnsi="宋体"/>
                <w:color w:val="000000"/>
                <w:kern w:val="0"/>
                <w:sz w:val="24"/>
              </w:rPr>
              <w:t>乙方验收：</w:t>
            </w:r>
          </w:p>
          <w:p w14:paraId="161C8B32">
            <w:pPr>
              <w:widowControl/>
              <w:spacing w:after="150" w:line="240" w:lineRule="atLeast"/>
              <w:ind w:firstLine="720" w:firstLineChars="300"/>
              <w:jc w:val="left"/>
              <w:rPr>
                <w:color w:val="000000"/>
                <w:kern w:val="0"/>
                <w:sz w:val="24"/>
              </w:rPr>
            </w:pPr>
            <w:r>
              <w:rPr>
                <w:rFonts w:hint="eastAsia" w:hAnsi="宋体"/>
                <w:color w:val="000000"/>
                <w:kern w:val="0"/>
                <w:sz w:val="24"/>
              </w:rPr>
              <w:t>年</w:t>
            </w:r>
            <w:r>
              <w:rPr>
                <w:color w:val="000000"/>
                <w:kern w:val="0"/>
                <w:sz w:val="24"/>
              </w:rPr>
              <w:t xml:space="preserve">   </w:t>
            </w:r>
            <w:r>
              <w:rPr>
                <w:rFonts w:hint="eastAsia" w:hAnsi="宋体"/>
                <w:color w:val="000000"/>
                <w:kern w:val="0"/>
                <w:sz w:val="24"/>
              </w:rPr>
              <w:t>月</w:t>
            </w:r>
            <w:r>
              <w:rPr>
                <w:color w:val="000000"/>
                <w:kern w:val="0"/>
                <w:sz w:val="24"/>
              </w:rPr>
              <w:t xml:space="preserve">   </w:t>
            </w:r>
            <w:r>
              <w:rPr>
                <w:rFonts w:hint="eastAsia" w:hAnsi="宋体"/>
                <w:color w:val="000000"/>
                <w:kern w:val="0"/>
                <w:sz w:val="24"/>
              </w:rPr>
              <w:t>日</w:t>
            </w:r>
            <w:r>
              <w:rPr>
                <w:color w:val="000000"/>
                <w:kern w:val="0"/>
                <w:sz w:val="24"/>
              </w:rPr>
              <w:t xml:space="preserve">                   </w:t>
            </w:r>
            <w:r>
              <w:rPr>
                <w:rFonts w:hint="eastAsia" w:hAnsi="宋体"/>
                <w:color w:val="000000"/>
                <w:kern w:val="0"/>
                <w:sz w:val="24"/>
              </w:rPr>
              <w:t>年</w:t>
            </w:r>
            <w:r>
              <w:rPr>
                <w:color w:val="000000"/>
                <w:kern w:val="0"/>
                <w:sz w:val="24"/>
              </w:rPr>
              <w:t xml:space="preserve">   </w:t>
            </w:r>
            <w:r>
              <w:rPr>
                <w:rFonts w:hint="eastAsia" w:hAnsi="宋体"/>
                <w:color w:val="000000"/>
                <w:kern w:val="0"/>
                <w:sz w:val="24"/>
              </w:rPr>
              <w:t>月</w:t>
            </w:r>
            <w:r>
              <w:rPr>
                <w:color w:val="000000"/>
                <w:kern w:val="0"/>
                <w:sz w:val="24"/>
              </w:rPr>
              <w:t xml:space="preserve">   </w:t>
            </w:r>
            <w:r>
              <w:rPr>
                <w:rFonts w:hint="eastAsia" w:hAnsi="宋体"/>
                <w:color w:val="000000"/>
                <w:kern w:val="0"/>
                <w:sz w:val="24"/>
              </w:rPr>
              <w:t>日</w:t>
            </w:r>
            <w:r>
              <w:rPr>
                <w:color w:val="000000"/>
                <w:kern w:val="0"/>
                <w:sz w:val="24"/>
              </w:rPr>
              <w:t xml:space="preserve"> </w:t>
            </w:r>
          </w:p>
          <w:p w14:paraId="754169DF">
            <w:pPr>
              <w:widowControl/>
              <w:spacing w:after="150" w:line="240" w:lineRule="atLeast"/>
              <w:jc w:val="left"/>
              <w:rPr>
                <w:color w:val="000000"/>
                <w:kern w:val="0"/>
                <w:sz w:val="24"/>
              </w:rPr>
            </w:pPr>
            <w:r>
              <w:rPr>
                <w:rFonts w:hint="eastAsia" w:hAnsi="宋体"/>
                <w:color w:val="000000"/>
                <w:kern w:val="0"/>
                <w:sz w:val="24"/>
              </w:rPr>
              <w:t>乙方交房：</w:t>
            </w:r>
            <w:r>
              <w:rPr>
                <w:color w:val="000000"/>
                <w:kern w:val="0"/>
                <w:sz w:val="24"/>
              </w:rPr>
              <w:t xml:space="preserve">                  </w:t>
            </w:r>
            <w:r>
              <w:rPr>
                <w:rFonts w:hint="eastAsia" w:hAnsi="宋体"/>
                <w:color w:val="000000"/>
                <w:kern w:val="0"/>
                <w:sz w:val="24"/>
              </w:rPr>
              <w:t>甲方验收：</w:t>
            </w:r>
          </w:p>
          <w:p w14:paraId="2857FF43">
            <w:pPr>
              <w:widowControl/>
              <w:spacing w:after="150" w:line="240" w:lineRule="atLeast"/>
              <w:ind w:firstLine="720" w:firstLineChars="300"/>
              <w:jc w:val="left"/>
              <w:rPr>
                <w:color w:val="000000"/>
                <w:kern w:val="0"/>
                <w:sz w:val="24"/>
              </w:rPr>
            </w:pPr>
            <w:r>
              <w:rPr>
                <w:rFonts w:hint="eastAsia" w:hAnsi="宋体"/>
                <w:color w:val="000000"/>
                <w:kern w:val="0"/>
                <w:sz w:val="24"/>
              </w:rPr>
              <w:t>年</w:t>
            </w:r>
            <w:r>
              <w:rPr>
                <w:color w:val="000000"/>
                <w:kern w:val="0"/>
                <w:sz w:val="24"/>
              </w:rPr>
              <w:t xml:space="preserve">   </w:t>
            </w:r>
            <w:r>
              <w:rPr>
                <w:rFonts w:hint="eastAsia" w:hAnsi="宋体"/>
                <w:color w:val="000000"/>
                <w:kern w:val="0"/>
                <w:sz w:val="24"/>
              </w:rPr>
              <w:t>月</w:t>
            </w:r>
            <w:r>
              <w:rPr>
                <w:color w:val="000000"/>
                <w:kern w:val="0"/>
                <w:sz w:val="24"/>
              </w:rPr>
              <w:t xml:space="preserve">   </w:t>
            </w:r>
            <w:r>
              <w:rPr>
                <w:rFonts w:hint="eastAsia" w:hAnsi="宋体"/>
                <w:color w:val="000000"/>
                <w:kern w:val="0"/>
                <w:sz w:val="24"/>
              </w:rPr>
              <w:t>日</w:t>
            </w:r>
            <w:r>
              <w:rPr>
                <w:color w:val="000000"/>
                <w:kern w:val="0"/>
                <w:sz w:val="24"/>
              </w:rPr>
              <w:t xml:space="preserve">                   </w:t>
            </w:r>
            <w:r>
              <w:rPr>
                <w:rFonts w:hint="eastAsia" w:hAnsi="宋体"/>
                <w:color w:val="000000"/>
                <w:kern w:val="0"/>
                <w:sz w:val="24"/>
              </w:rPr>
              <w:t>年</w:t>
            </w:r>
            <w:r>
              <w:rPr>
                <w:color w:val="000000"/>
                <w:kern w:val="0"/>
                <w:sz w:val="24"/>
              </w:rPr>
              <w:t xml:space="preserve">   </w:t>
            </w:r>
            <w:r>
              <w:rPr>
                <w:rFonts w:hint="eastAsia" w:hAnsi="宋体"/>
                <w:color w:val="000000"/>
                <w:kern w:val="0"/>
                <w:sz w:val="24"/>
              </w:rPr>
              <w:t>月</w:t>
            </w:r>
            <w:r>
              <w:rPr>
                <w:color w:val="000000"/>
                <w:kern w:val="0"/>
                <w:sz w:val="24"/>
              </w:rPr>
              <w:t xml:space="preserve">   </w:t>
            </w:r>
            <w:r>
              <w:rPr>
                <w:rFonts w:hint="eastAsia" w:hAnsi="宋体"/>
                <w:color w:val="000000"/>
                <w:kern w:val="0"/>
                <w:sz w:val="24"/>
              </w:rPr>
              <w:t>日</w:t>
            </w:r>
          </w:p>
        </w:tc>
      </w:tr>
    </w:tbl>
    <w:p w14:paraId="1A46531F"/>
    <w:p w14:paraId="6AE7CD06"/>
    <w:p w14:paraId="14101195"/>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Batang">
    <w:altName w:val="Malgun Gothic"/>
    <w:panose1 w:val="02030600000101010101"/>
    <w:charset w:val="81"/>
    <w:family w:val="roma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44FED">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84E0A2">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E84E0A2">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CF0415">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5ZWQ3NDZiNjY5NjI2MWE4NjI4NGNjMzE5YTc1YTIifQ=="/>
  </w:docVars>
  <w:rsids>
    <w:rsidRoot w:val="00000000"/>
    <w:rsid w:val="056A1C9B"/>
    <w:rsid w:val="07513C61"/>
    <w:rsid w:val="30F93BF4"/>
    <w:rsid w:val="3AAE7714"/>
    <w:rsid w:val="40E1210B"/>
    <w:rsid w:val="427231EA"/>
    <w:rsid w:val="462008E0"/>
    <w:rsid w:val="63D428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