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Style w:val="9"/>
          <w:rFonts w:ascii="FangSong_GB2312" w:eastAsia="FangSong_GB2312"/>
          <w:b/>
          <w:sz w:val="30"/>
          <w:szCs w:val="30"/>
          <w:highlight w:val="none"/>
        </w:rPr>
      </w:pPr>
      <w:r>
        <w:rPr>
          <w:rStyle w:val="9"/>
          <w:rFonts w:hint="eastAsia" w:ascii="FangSong_GB2312" w:eastAsia="FangSong_GB2312"/>
          <w:b/>
          <w:sz w:val="30"/>
          <w:szCs w:val="30"/>
          <w:lang w:eastAsia="zh-CN"/>
        </w:rPr>
        <w:t>附件</w:t>
      </w:r>
      <w:r>
        <w:rPr>
          <w:rStyle w:val="9"/>
          <w:rFonts w:hint="eastAsia" w:ascii="FangSong_GB2312" w:eastAsia="FangSong_GB2312"/>
          <w:b/>
          <w:sz w:val="30"/>
          <w:szCs w:val="30"/>
          <w:lang w:val="en-US" w:eastAsia="zh-CN"/>
        </w:rPr>
        <w:t>1：</w:t>
      </w:r>
      <w:r>
        <w:rPr>
          <w:rStyle w:val="9"/>
          <w:rFonts w:hint="eastAsia" w:ascii="FangSong_GB2312" w:eastAsia="FangSong_GB2312"/>
          <w:b/>
          <w:sz w:val="30"/>
          <w:szCs w:val="30"/>
          <w:highlight w:val="none"/>
        </w:rPr>
        <w:t>报价表</w:t>
      </w:r>
    </w:p>
    <w:p>
      <w:pPr>
        <w:pStyle w:val="2"/>
        <w:ind w:left="0" w:leftChars="0" w:firstLine="0" w:firstLineChars="0"/>
        <w:rPr>
          <w:rFonts w:hint="eastAsia" w:ascii="仿宋" w:hAnsi="仿宋" w:eastAsia="仿宋" w:cs="仿宋"/>
          <w:b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b/>
          <w:sz w:val="28"/>
          <w:szCs w:val="28"/>
          <w:highlight w:val="none"/>
          <w:lang w:eastAsia="zh-CN"/>
        </w:rPr>
        <w:t>标的一：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3"/>
        <w:gridCol w:w="1396"/>
        <w:gridCol w:w="1274"/>
        <w:gridCol w:w="833"/>
        <w:gridCol w:w="930"/>
        <w:gridCol w:w="1169"/>
        <w:gridCol w:w="1225"/>
        <w:gridCol w:w="11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9853" w:type="dxa"/>
            <w:gridSpan w:val="8"/>
            <w:vAlign w:val="center"/>
          </w:tcPr>
          <w:p>
            <w:pPr>
              <w:pStyle w:val="2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32"/>
                <w:szCs w:val="32"/>
                <w:highlight w:val="none"/>
                <w:vertAlign w:val="baseline"/>
                <w:lang w:eastAsia="zh-CN"/>
              </w:rPr>
              <w:t>青口投资公司</w:t>
            </w:r>
            <w:r>
              <w:rPr>
                <w:rFonts w:hint="eastAsia" w:ascii="仿宋" w:hAnsi="仿宋" w:eastAsia="仿宋" w:cs="仿宋"/>
                <w:b/>
                <w:sz w:val="32"/>
                <w:szCs w:val="32"/>
                <w:highlight w:val="none"/>
                <w:vertAlign w:val="baseline"/>
                <w:lang w:val="en-US" w:eastAsia="zh-CN"/>
              </w:rPr>
              <w:t>2025年</w:t>
            </w:r>
            <w:r>
              <w:rPr>
                <w:rFonts w:hint="eastAsia" w:ascii="仿宋" w:hAnsi="仿宋" w:eastAsia="仿宋" w:cs="仿宋"/>
                <w:b/>
                <w:sz w:val="32"/>
                <w:szCs w:val="32"/>
                <w:highlight w:val="none"/>
                <w:vertAlign w:val="baseline"/>
                <w:lang w:eastAsia="zh-CN"/>
              </w:rPr>
              <w:t>化肥（第二批）投标报价表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</w:trPr>
        <w:tc>
          <w:tcPr>
            <w:tcW w:w="571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序号</w:t>
            </w:r>
          </w:p>
        </w:tc>
        <w:tc>
          <w:tcPr>
            <w:tcW w:w="1689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商品名称</w:t>
            </w:r>
          </w:p>
        </w:tc>
        <w:tc>
          <w:tcPr>
            <w:tcW w:w="1416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规格含量</w:t>
            </w:r>
          </w:p>
        </w:tc>
        <w:tc>
          <w:tcPr>
            <w:tcW w:w="95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单位</w:t>
            </w:r>
          </w:p>
        </w:tc>
        <w:tc>
          <w:tcPr>
            <w:tcW w:w="1077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数量</w:t>
            </w:r>
          </w:p>
        </w:tc>
        <w:tc>
          <w:tcPr>
            <w:tcW w:w="1391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单价</w:t>
            </w:r>
          </w:p>
        </w:tc>
        <w:tc>
          <w:tcPr>
            <w:tcW w:w="1465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总金额</w:t>
            </w:r>
          </w:p>
        </w:tc>
        <w:tc>
          <w:tcPr>
            <w:tcW w:w="1294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</w:trPr>
        <w:tc>
          <w:tcPr>
            <w:tcW w:w="571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16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锌腐酸尿素</w:t>
            </w:r>
          </w:p>
        </w:tc>
        <w:tc>
          <w:tcPr>
            <w:tcW w:w="14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 xml:space="preserve"> 46%，80斤/包</w:t>
            </w:r>
          </w:p>
        </w:tc>
        <w:tc>
          <w:tcPr>
            <w:tcW w:w="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吨</w:t>
            </w:r>
          </w:p>
        </w:tc>
        <w:tc>
          <w:tcPr>
            <w:tcW w:w="10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79吨</w:t>
            </w:r>
          </w:p>
        </w:tc>
        <w:tc>
          <w:tcPr>
            <w:tcW w:w="1391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465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294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限价2600元/吨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9853" w:type="dxa"/>
            <w:gridSpan w:val="8"/>
            <w:vAlign w:val="center"/>
          </w:tcPr>
          <w:p>
            <w:pPr>
              <w:pStyle w:val="2"/>
              <w:ind w:left="0" w:leftChars="0" w:firstLine="0" w:firstLineChars="0"/>
              <w:jc w:val="both"/>
              <w:rPr>
                <w:rFonts w:hint="eastAsia" w:ascii="FangSong_GB2312" w:eastAsia="FangSong_GB231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注：（1）以上报价均包运输费、税费、装卸费等，</w:t>
            </w:r>
            <w:r>
              <w:rPr>
                <w:rFonts w:hint="eastAsia" w:ascii="FangSong_GB2312" w:eastAsia="FangSong_GB2312"/>
                <w:sz w:val="24"/>
                <w:szCs w:val="24"/>
                <w:highlight w:val="none"/>
              </w:rPr>
              <w:t>投标单位须按上述格式逐项填报</w:t>
            </w:r>
            <w:r>
              <w:rPr>
                <w:rFonts w:hint="eastAsia" w:ascii="FangSong_GB2312" w:eastAsia="FangSong_GB2312"/>
                <w:sz w:val="24"/>
                <w:szCs w:val="24"/>
                <w:highlight w:val="none"/>
                <w:lang w:eastAsia="zh-CN"/>
              </w:rPr>
              <w:t>；</w:t>
            </w:r>
          </w:p>
          <w:p>
            <w:pPr>
              <w:pStyle w:val="2"/>
              <w:ind w:left="0" w:leftChars="0" w:firstLine="0" w:firstLineChars="0"/>
              <w:jc w:val="both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eastAsia="FangSong_GB2312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FangSong_GB2312" w:eastAsia="FangSong_GB2312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 w:ascii="FangSong_GB2312" w:eastAsia="FangSong_GB2312"/>
                <w:sz w:val="24"/>
                <w:szCs w:val="24"/>
                <w:highlight w:val="none"/>
                <w:lang w:eastAsia="zh-CN"/>
              </w:rPr>
              <w:t>）报价限保留小数点后一位。</w:t>
            </w:r>
          </w:p>
        </w:tc>
      </w:tr>
    </w:tbl>
    <w:p>
      <w:pPr>
        <w:widowControl/>
        <w:adjustRightInd w:val="0"/>
        <w:snapToGrid w:val="0"/>
        <w:spacing w:after="200" w:line="500" w:lineRule="exact"/>
        <w:ind w:firstLine="4480" w:firstLineChars="1600"/>
        <w:jc w:val="left"/>
        <w:rPr>
          <w:rFonts w:hint="eastAsia" w:ascii="仿宋" w:hAnsi="仿宋" w:eastAsia="仿宋" w:cs="仿宋"/>
          <w:sz w:val="28"/>
          <w:szCs w:val="28"/>
          <w:highlight w:val="none"/>
        </w:rPr>
      </w:pPr>
    </w:p>
    <w:p>
      <w:pPr>
        <w:widowControl/>
        <w:adjustRightInd w:val="0"/>
        <w:snapToGrid w:val="0"/>
        <w:spacing w:after="200" w:line="500" w:lineRule="exact"/>
        <w:ind w:firstLine="4480" w:firstLineChars="1600"/>
        <w:jc w:val="left"/>
        <w:rPr>
          <w:rFonts w:hint="eastAsia" w:ascii="仿宋" w:hAnsi="仿宋" w:eastAsia="仿宋" w:cs="仿宋"/>
          <w:sz w:val="28"/>
          <w:szCs w:val="28"/>
          <w:highlight w:val="none"/>
        </w:rPr>
      </w:pPr>
    </w:p>
    <w:p>
      <w:pPr>
        <w:widowControl/>
        <w:adjustRightInd w:val="0"/>
        <w:snapToGrid w:val="0"/>
        <w:spacing w:after="200" w:line="500" w:lineRule="exact"/>
        <w:ind w:firstLine="4480" w:firstLineChars="1600"/>
        <w:jc w:val="left"/>
        <w:rPr>
          <w:rFonts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投标人（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签字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）：</w:t>
      </w:r>
    </w:p>
    <w:p>
      <w:pPr>
        <w:widowControl/>
        <w:adjustRightInd w:val="0"/>
        <w:snapToGrid w:val="0"/>
        <w:spacing w:after="200" w:line="500" w:lineRule="exact"/>
        <w:ind w:firstLine="4578" w:firstLineChars="1635"/>
        <w:jc w:val="both"/>
        <w:rPr>
          <w:rFonts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投标单位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（盖章）：</w:t>
      </w:r>
    </w:p>
    <w:p>
      <w:pPr>
        <w:widowControl/>
        <w:adjustRightInd w:val="0"/>
        <w:snapToGrid w:val="0"/>
        <w:spacing w:after="200" w:line="400" w:lineRule="exact"/>
        <w:ind w:firstLine="4480" w:firstLineChars="1600"/>
        <w:jc w:val="left"/>
        <w:rPr>
          <w:rFonts w:hint="eastAsia" w:ascii="仿宋" w:hAnsi="仿宋" w:eastAsia="仿宋" w:cs="仿宋"/>
          <w:sz w:val="28"/>
          <w:szCs w:val="28"/>
          <w:highlight w:val="none"/>
        </w:rPr>
      </w:pPr>
    </w:p>
    <w:p>
      <w:pPr>
        <w:widowControl/>
        <w:adjustRightInd w:val="0"/>
        <w:snapToGrid w:val="0"/>
        <w:spacing w:after="200" w:line="400" w:lineRule="exact"/>
        <w:ind w:firstLine="4480" w:firstLineChars="1600"/>
        <w:jc w:val="left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日期：    年    月   日</w:t>
      </w:r>
    </w:p>
    <w:p>
      <w:pPr>
        <w:pStyle w:val="2"/>
        <w:rPr>
          <w:rFonts w:hint="eastAsia" w:ascii="仿宋" w:hAnsi="仿宋" w:eastAsia="仿宋" w:cs="仿宋"/>
          <w:sz w:val="28"/>
          <w:szCs w:val="28"/>
          <w:highlight w:val="none"/>
        </w:rPr>
      </w:pPr>
    </w:p>
    <w:p>
      <w:pPr>
        <w:pStyle w:val="2"/>
        <w:rPr>
          <w:rFonts w:hint="eastAsia" w:ascii="仿宋" w:hAnsi="仿宋" w:eastAsia="仿宋" w:cs="仿宋"/>
          <w:sz w:val="28"/>
          <w:szCs w:val="28"/>
          <w:highlight w:val="none"/>
        </w:rPr>
      </w:pPr>
    </w:p>
    <w:p>
      <w:pPr>
        <w:pStyle w:val="2"/>
        <w:rPr>
          <w:rFonts w:hint="eastAsia" w:ascii="仿宋" w:hAnsi="仿宋" w:eastAsia="仿宋" w:cs="仿宋"/>
          <w:sz w:val="28"/>
          <w:szCs w:val="28"/>
          <w:highlight w:val="none"/>
        </w:rPr>
      </w:pPr>
    </w:p>
    <w:p>
      <w:pPr>
        <w:pStyle w:val="2"/>
        <w:rPr>
          <w:rFonts w:hint="eastAsia" w:ascii="仿宋" w:hAnsi="仿宋" w:eastAsia="仿宋" w:cs="仿宋"/>
          <w:sz w:val="28"/>
          <w:szCs w:val="28"/>
          <w:highlight w:val="none"/>
        </w:rPr>
      </w:pPr>
    </w:p>
    <w:p>
      <w:pPr>
        <w:pStyle w:val="2"/>
        <w:rPr>
          <w:rFonts w:hint="eastAsia" w:ascii="仿宋" w:hAnsi="仿宋" w:eastAsia="仿宋" w:cs="仿宋"/>
          <w:sz w:val="28"/>
          <w:szCs w:val="28"/>
          <w:highlight w:val="none"/>
        </w:rPr>
      </w:pPr>
    </w:p>
    <w:p>
      <w:pPr>
        <w:pStyle w:val="2"/>
        <w:ind w:left="0" w:leftChars="0" w:firstLine="0" w:firstLineChars="0"/>
        <w:rPr>
          <w:rFonts w:hint="eastAsia" w:ascii="仿宋" w:hAnsi="仿宋" w:eastAsia="仿宋" w:cs="仿宋"/>
          <w:b/>
          <w:sz w:val="28"/>
          <w:szCs w:val="28"/>
          <w:highlight w:val="none"/>
          <w:lang w:eastAsia="zh-CN"/>
        </w:rPr>
      </w:pPr>
    </w:p>
    <w:p>
      <w:pPr>
        <w:pStyle w:val="2"/>
        <w:ind w:left="0" w:leftChars="0" w:firstLine="0" w:firstLineChars="0"/>
        <w:rPr>
          <w:rFonts w:hint="eastAsia" w:ascii="仿宋" w:hAnsi="仿宋" w:eastAsia="仿宋" w:cs="仿宋"/>
          <w:b/>
          <w:sz w:val="28"/>
          <w:szCs w:val="28"/>
          <w:highlight w:val="none"/>
          <w:lang w:eastAsia="zh-CN"/>
        </w:rPr>
      </w:pPr>
    </w:p>
    <w:p>
      <w:pPr>
        <w:pStyle w:val="2"/>
        <w:ind w:left="0" w:leftChars="0" w:firstLine="0" w:firstLineChars="0"/>
        <w:rPr>
          <w:rFonts w:hint="eastAsia" w:ascii="仿宋" w:hAnsi="仿宋" w:eastAsia="仿宋" w:cs="仿宋"/>
          <w:b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b/>
          <w:sz w:val="28"/>
          <w:szCs w:val="28"/>
          <w:highlight w:val="none"/>
          <w:lang w:eastAsia="zh-CN"/>
        </w:rPr>
        <w:t>标的二：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1"/>
        <w:gridCol w:w="1369"/>
        <w:gridCol w:w="1260"/>
        <w:gridCol w:w="822"/>
        <w:gridCol w:w="1040"/>
        <w:gridCol w:w="1148"/>
        <w:gridCol w:w="1203"/>
        <w:gridCol w:w="11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9853" w:type="dxa"/>
            <w:gridSpan w:val="8"/>
            <w:vAlign w:val="center"/>
          </w:tcPr>
          <w:p>
            <w:pPr>
              <w:pStyle w:val="2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32"/>
                <w:szCs w:val="32"/>
                <w:highlight w:val="none"/>
                <w:vertAlign w:val="baseline"/>
                <w:lang w:eastAsia="zh-CN"/>
              </w:rPr>
              <w:t>青口投资公司</w:t>
            </w:r>
            <w:r>
              <w:rPr>
                <w:rFonts w:hint="eastAsia" w:ascii="仿宋" w:hAnsi="仿宋" w:eastAsia="仿宋" w:cs="仿宋"/>
                <w:b/>
                <w:sz w:val="32"/>
                <w:szCs w:val="32"/>
                <w:highlight w:val="none"/>
                <w:vertAlign w:val="baseline"/>
                <w:lang w:val="en-US" w:eastAsia="zh-CN"/>
              </w:rPr>
              <w:t>2025年</w:t>
            </w:r>
            <w:r>
              <w:rPr>
                <w:rFonts w:hint="eastAsia" w:ascii="仿宋" w:hAnsi="仿宋" w:eastAsia="仿宋" w:cs="仿宋"/>
                <w:b/>
                <w:sz w:val="32"/>
                <w:szCs w:val="32"/>
                <w:highlight w:val="none"/>
                <w:vertAlign w:val="baseline"/>
                <w:lang w:eastAsia="zh-CN"/>
              </w:rPr>
              <w:t>化肥（第二批）投标报价表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</w:trPr>
        <w:tc>
          <w:tcPr>
            <w:tcW w:w="571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序号</w:t>
            </w:r>
          </w:p>
        </w:tc>
        <w:tc>
          <w:tcPr>
            <w:tcW w:w="1689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商品名称</w:t>
            </w:r>
          </w:p>
        </w:tc>
        <w:tc>
          <w:tcPr>
            <w:tcW w:w="1416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规格含量</w:t>
            </w:r>
          </w:p>
        </w:tc>
        <w:tc>
          <w:tcPr>
            <w:tcW w:w="95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单位</w:t>
            </w:r>
          </w:p>
        </w:tc>
        <w:tc>
          <w:tcPr>
            <w:tcW w:w="1077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数量</w:t>
            </w:r>
          </w:p>
        </w:tc>
        <w:tc>
          <w:tcPr>
            <w:tcW w:w="1391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单价</w:t>
            </w:r>
          </w:p>
        </w:tc>
        <w:tc>
          <w:tcPr>
            <w:tcW w:w="1465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总金额</w:t>
            </w:r>
          </w:p>
        </w:tc>
        <w:tc>
          <w:tcPr>
            <w:tcW w:w="1294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</w:trPr>
        <w:tc>
          <w:tcPr>
            <w:tcW w:w="571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16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尿素</w:t>
            </w:r>
          </w:p>
        </w:tc>
        <w:tc>
          <w:tcPr>
            <w:tcW w:w="14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46%，100斤/包</w:t>
            </w:r>
          </w:p>
        </w:tc>
        <w:tc>
          <w:tcPr>
            <w:tcW w:w="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吨</w:t>
            </w:r>
          </w:p>
        </w:tc>
        <w:tc>
          <w:tcPr>
            <w:tcW w:w="10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217.60吨</w:t>
            </w:r>
          </w:p>
        </w:tc>
        <w:tc>
          <w:tcPr>
            <w:tcW w:w="1391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465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294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限价2300元/吨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9853" w:type="dxa"/>
            <w:gridSpan w:val="8"/>
            <w:vAlign w:val="center"/>
          </w:tcPr>
          <w:p>
            <w:pPr>
              <w:pStyle w:val="2"/>
              <w:ind w:left="0" w:leftChars="0" w:firstLine="0" w:firstLineChars="0"/>
              <w:jc w:val="both"/>
              <w:rPr>
                <w:rFonts w:hint="eastAsia" w:ascii="FangSong_GB2312" w:eastAsia="FangSong_GB231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注：（1）以上报价均包运输费、税费、装卸费等，</w:t>
            </w:r>
            <w:r>
              <w:rPr>
                <w:rFonts w:hint="eastAsia" w:ascii="FangSong_GB2312" w:eastAsia="FangSong_GB2312"/>
                <w:sz w:val="24"/>
                <w:szCs w:val="24"/>
                <w:highlight w:val="none"/>
              </w:rPr>
              <w:t>投标单位须按上述格式逐项填报</w:t>
            </w:r>
            <w:r>
              <w:rPr>
                <w:rFonts w:hint="eastAsia" w:ascii="FangSong_GB2312" w:eastAsia="FangSong_GB2312"/>
                <w:sz w:val="24"/>
                <w:szCs w:val="24"/>
                <w:highlight w:val="none"/>
                <w:lang w:eastAsia="zh-CN"/>
              </w:rPr>
              <w:t>；</w:t>
            </w:r>
          </w:p>
          <w:p>
            <w:pPr>
              <w:pStyle w:val="2"/>
              <w:ind w:left="0" w:leftChars="0" w:firstLine="0" w:firstLineChars="0"/>
              <w:jc w:val="both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eastAsia="FangSong_GB2312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FangSong_GB2312" w:eastAsia="FangSong_GB2312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 w:ascii="FangSong_GB2312" w:eastAsia="FangSong_GB2312"/>
                <w:sz w:val="24"/>
                <w:szCs w:val="24"/>
                <w:highlight w:val="none"/>
                <w:lang w:eastAsia="zh-CN"/>
              </w:rPr>
              <w:t>）报价限保留小数点后一位。</w:t>
            </w:r>
          </w:p>
        </w:tc>
      </w:tr>
    </w:tbl>
    <w:p>
      <w:pPr>
        <w:widowControl/>
        <w:adjustRightInd w:val="0"/>
        <w:snapToGrid w:val="0"/>
        <w:spacing w:after="200" w:line="500" w:lineRule="exact"/>
        <w:ind w:firstLine="4480" w:firstLineChars="1600"/>
        <w:jc w:val="left"/>
        <w:rPr>
          <w:rFonts w:hint="eastAsia" w:ascii="仿宋" w:hAnsi="仿宋" w:eastAsia="仿宋" w:cs="仿宋"/>
          <w:sz w:val="28"/>
          <w:szCs w:val="28"/>
          <w:highlight w:val="none"/>
        </w:rPr>
      </w:pPr>
    </w:p>
    <w:p>
      <w:pPr>
        <w:widowControl/>
        <w:adjustRightInd w:val="0"/>
        <w:snapToGrid w:val="0"/>
        <w:spacing w:after="200" w:line="500" w:lineRule="exact"/>
        <w:ind w:firstLine="4480" w:firstLineChars="1600"/>
        <w:jc w:val="left"/>
        <w:rPr>
          <w:rFonts w:hint="eastAsia" w:ascii="仿宋" w:hAnsi="仿宋" w:eastAsia="仿宋" w:cs="仿宋"/>
          <w:sz w:val="28"/>
          <w:szCs w:val="28"/>
          <w:highlight w:val="none"/>
        </w:rPr>
      </w:pPr>
    </w:p>
    <w:p>
      <w:pPr>
        <w:widowControl/>
        <w:adjustRightInd w:val="0"/>
        <w:snapToGrid w:val="0"/>
        <w:spacing w:after="200" w:line="500" w:lineRule="exact"/>
        <w:ind w:firstLine="4480" w:firstLineChars="1600"/>
        <w:jc w:val="left"/>
        <w:rPr>
          <w:rFonts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投标人（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签字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）：</w:t>
      </w:r>
    </w:p>
    <w:p>
      <w:pPr>
        <w:widowControl/>
        <w:adjustRightInd w:val="0"/>
        <w:snapToGrid w:val="0"/>
        <w:spacing w:after="200" w:line="500" w:lineRule="exact"/>
        <w:ind w:firstLine="4578" w:firstLineChars="1635"/>
        <w:jc w:val="both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投标单位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（盖章）：</w:t>
      </w:r>
    </w:p>
    <w:p>
      <w:pPr>
        <w:ind w:firstLine="3640" w:firstLineChars="1300"/>
      </w:pP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highlight w:val="none"/>
        </w:rPr>
        <w:t>日期：    年    月   日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