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spacing w:line="500" w:lineRule="exact"/>
        <w:jc w:val="left"/>
        <w:rPr>
          <w:rStyle w:val="8"/>
          <w:rFonts w:hint="eastAsia" w:ascii="FangSong_GB2312" w:eastAsia="FangSong_GB2312"/>
          <w:b/>
          <w:sz w:val="30"/>
          <w:szCs w:val="30"/>
        </w:rPr>
      </w:pPr>
      <w:r>
        <w:rPr>
          <w:rStyle w:val="8"/>
          <w:rFonts w:hint="eastAsia" w:ascii="FangSong_GB2312" w:eastAsia="FangSong_GB2312"/>
          <w:b/>
          <w:sz w:val="30"/>
          <w:szCs w:val="30"/>
          <w:lang w:eastAsia="zh-CN"/>
        </w:rPr>
        <w:t>附件</w:t>
      </w:r>
      <w:r>
        <w:rPr>
          <w:rStyle w:val="8"/>
          <w:rFonts w:hint="eastAsia" w:ascii="FangSong_GB2312" w:eastAsia="FangSong_GB2312"/>
          <w:b/>
          <w:sz w:val="30"/>
          <w:szCs w:val="30"/>
          <w:lang w:val="en-US" w:eastAsia="zh-CN"/>
        </w:rPr>
        <w:t>1：</w:t>
      </w:r>
      <w:r>
        <w:rPr>
          <w:rStyle w:val="8"/>
          <w:rFonts w:hint="eastAsia" w:ascii="FangSong_GB2312" w:eastAsia="FangSong_GB2312"/>
          <w:b/>
          <w:sz w:val="30"/>
          <w:szCs w:val="30"/>
        </w:rPr>
        <w:t>报价表</w:t>
      </w:r>
    </w:p>
    <w:p>
      <w:pPr>
        <w:pStyle w:val="2"/>
        <w:numPr>
          <w:ilvl w:val="0"/>
          <w:numId w:val="0"/>
        </w:numPr>
        <w:rPr>
          <w:rStyle w:val="8"/>
          <w:rFonts w:hint="eastAsia" w:ascii="FangSong_GB2312" w:hAnsi="Times New Roman" w:eastAsia="FangSong_GB2312" w:cs="Times New Roman"/>
          <w:b/>
          <w:kern w:val="2"/>
          <w:sz w:val="30"/>
          <w:szCs w:val="30"/>
          <w:highlight w:val="none"/>
          <w:lang w:val="en-US" w:eastAsia="zh-CN" w:bidi="ar-SA"/>
        </w:rPr>
      </w:pPr>
      <w:r>
        <w:rPr>
          <w:rStyle w:val="8"/>
          <w:rFonts w:hint="eastAsia" w:ascii="FangSong_GB2312" w:hAnsi="Times New Roman" w:eastAsia="FangSong_GB2312" w:cs="Times New Roman"/>
          <w:b/>
          <w:kern w:val="2"/>
          <w:sz w:val="30"/>
          <w:szCs w:val="30"/>
          <w:highlight w:val="none"/>
          <w:lang w:val="en-US" w:eastAsia="zh-CN" w:bidi="ar-SA"/>
        </w:rPr>
        <w:t>标的</w:t>
      </w:r>
      <w:r>
        <w:rPr>
          <w:rStyle w:val="8"/>
          <w:rFonts w:hint="eastAsia" w:ascii="FangSong_GB2312" w:eastAsia="FangSong_GB2312" w:cs="Times New Roman"/>
          <w:b/>
          <w:kern w:val="2"/>
          <w:sz w:val="30"/>
          <w:szCs w:val="30"/>
          <w:highlight w:val="none"/>
          <w:lang w:val="en-US" w:eastAsia="zh-CN" w:bidi="ar-SA"/>
        </w:rPr>
        <w:t>一</w:t>
      </w:r>
      <w:r>
        <w:rPr>
          <w:rStyle w:val="8"/>
          <w:rFonts w:hint="eastAsia" w:ascii="FangSong_GB2312" w:hAnsi="Times New Roman" w:eastAsia="FangSong_GB2312" w:cs="Times New Roman"/>
          <w:b/>
          <w:kern w:val="2"/>
          <w:sz w:val="30"/>
          <w:szCs w:val="30"/>
          <w:highlight w:val="none"/>
          <w:lang w:val="en-US" w:eastAsia="zh-CN" w:bidi="ar-SA"/>
        </w:rPr>
        <w:t>：</w:t>
      </w:r>
    </w:p>
    <w:tbl>
      <w:tblPr>
        <w:tblStyle w:val="6"/>
        <w:tblW w:w="9567" w:type="dxa"/>
        <w:tblInd w:w="-2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3"/>
        <w:gridCol w:w="1447"/>
        <w:gridCol w:w="1422"/>
        <w:gridCol w:w="795"/>
        <w:gridCol w:w="1154"/>
        <w:gridCol w:w="1125"/>
        <w:gridCol w:w="1681"/>
        <w:gridCol w:w="1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</w:trPr>
        <w:tc>
          <w:tcPr>
            <w:tcW w:w="9567" w:type="dxa"/>
            <w:gridSpan w:val="8"/>
            <w:vAlign w:val="center"/>
          </w:tcPr>
          <w:p>
            <w:pPr>
              <w:pStyle w:val="2"/>
              <w:jc w:val="center"/>
              <w:rPr>
                <w:rFonts w:hint="eastAsia" w:ascii="仿宋" w:hAnsi="仿宋" w:eastAsia="仿宋" w:cs="仿宋"/>
                <w:b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sz w:val="28"/>
                <w:szCs w:val="28"/>
                <w:highlight w:val="none"/>
                <w:vertAlign w:val="baseline"/>
                <w:lang w:eastAsia="zh-CN"/>
              </w:rPr>
              <w:t>青口投资公司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highlight w:val="none"/>
                <w:vertAlign w:val="baseline"/>
                <w:lang w:val="en-US" w:eastAsia="zh-CN"/>
              </w:rPr>
              <w:t>2025年家禽养殖饲料</w:t>
            </w:r>
            <w:r>
              <w:rPr>
                <w:rFonts w:hint="eastAsia" w:ascii="仿宋" w:hAnsi="仿宋" w:eastAsia="仿宋" w:cs="仿宋"/>
                <w:b/>
                <w:sz w:val="28"/>
                <w:szCs w:val="28"/>
                <w:highlight w:val="none"/>
                <w:vertAlign w:val="baseline"/>
                <w:lang w:eastAsia="zh-CN"/>
              </w:rPr>
              <w:t>投标报价表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</w:trPr>
        <w:tc>
          <w:tcPr>
            <w:tcW w:w="533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序号</w:t>
            </w:r>
          </w:p>
        </w:tc>
        <w:tc>
          <w:tcPr>
            <w:tcW w:w="1447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商品名称</w:t>
            </w:r>
          </w:p>
        </w:tc>
        <w:tc>
          <w:tcPr>
            <w:tcW w:w="1422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规格含量</w:t>
            </w:r>
          </w:p>
        </w:tc>
        <w:tc>
          <w:tcPr>
            <w:tcW w:w="795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单位</w:t>
            </w:r>
          </w:p>
        </w:tc>
        <w:tc>
          <w:tcPr>
            <w:tcW w:w="1154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数量</w:t>
            </w:r>
          </w:p>
        </w:tc>
        <w:tc>
          <w:tcPr>
            <w:tcW w:w="1125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单价</w:t>
            </w:r>
          </w:p>
        </w:tc>
        <w:tc>
          <w:tcPr>
            <w:tcW w:w="1681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总金额</w:t>
            </w:r>
          </w:p>
        </w:tc>
        <w:tc>
          <w:tcPr>
            <w:tcW w:w="1410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</w:trPr>
        <w:tc>
          <w:tcPr>
            <w:tcW w:w="533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1</w:t>
            </w:r>
          </w:p>
        </w:tc>
        <w:tc>
          <w:tcPr>
            <w:tcW w:w="14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配合饲料</w:t>
            </w:r>
          </w:p>
        </w:tc>
        <w:tc>
          <w:tcPr>
            <w:tcW w:w="14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80斤/袋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袋</w:t>
            </w:r>
          </w:p>
        </w:tc>
        <w:tc>
          <w:tcPr>
            <w:tcW w:w="11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200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6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限价136元/袋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4" w:hRule="atLeast"/>
        </w:trPr>
        <w:tc>
          <w:tcPr>
            <w:tcW w:w="533" w:type="dxa"/>
            <w:vAlign w:val="center"/>
          </w:tcPr>
          <w:p>
            <w:pPr>
              <w:pStyle w:val="2"/>
              <w:ind w:left="0" w:leftChars="0" w:firstLine="0" w:firstLineChars="0"/>
              <w:jc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2</w:t>
            </w:r>
          </w:p>
        </w:tc>
        <w:tc>
          <w:tcPr>
            <w:tcW w:w="144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玉米</w:t>
            </w:r>
          </w:p>
        </w:tc>
        <w:tc>
          <w:tcPr>
            <w:tcW w:w="142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120斤/袋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袋</w:t>
            </w:r>
          </w:p>
        </w:tc>
        <w:tc>
          <w:tcPr>
            <w:tcW w:w="115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100</w:t>
            </w:r>
          </w:p>
        </w:tc>
        <w:tc>
          <w:tcPr>
            <w:tcW w:w="112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68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14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限价153元/袋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</w:trPr>
        <w:tc>
          <w:tcPr>
            <w:tcW w:w="9567" w:type="dxa"/>
            <w:gridSpan w:val="8"/>
            <w:vAlign w:val="center"/>
          </w:tcPr>
          <w:p>
            <w:pPr>
              <w:pStyle w:val="2"/>
              <w:ind w:left="0" w:leftChars="0" w:firstLine="0" w:firstLineChars="0"/>
              <w:jc w:val="both"/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FangSong_GB2312" w:hAnsi="FangSong_GB2312" w:eastAsia="FangSong_GB2312" w:cs="FangSong_GB2312"/>
                <w:color w:val="333333"/>
                <w:kern w:val="0"/>
                <w:sz w:val="24"/>
                <w:szCs w:val="24"/>
                <w:highlight w:val="none"/>
                <w:lang w:val="en-US" w:eastAsia="zh-CN" w:bidi="ar-SA"/>
              </w:rPr>
              <w:t>注：以上报价均包运输费、税费、装卸费等，</w:t>
            </w:r>
            <w:r>
              <w:rPr>
                <w:rFonts w:hint="eastAsia" w:ascii="FangSong_GB2312" w:eastAsia="FangSong_GB2312"/>
                <w:sz w:val="24"/>
                <w:szCs w:val="24"/>
                <w:highlight w:val="none"/>
              </w:rPr>
              <w:t>投标单位须按上述格式逐项填报。</w:t>
            </w:r>
          </w:p>
        </w:tc>
      </w:tr>
    </w:tbl>
    <w:p>
      <w:pPr>
        <w:widowControl/>
        <w:adjustRightInd w:val="0"/>
        <w:snapToGrid w:val="0"/>
        <w:spacing w:after="200" w:line="500" w:lineRule="exact"/>
        <w:ind w:firstLine="4480" w:firstLineChars="1600"/>
        <w:jc w:val="left"/>
        <w:rPr>
          <w:rFonts w:hint="eastAsia" w:ascii="仿宋" w:hAnsi="仿宋" w:eastAsia="仿宋" w:cs="仿宋"/>
          <w:sz w:val="28"/>
          <w:szCs w:val="28"/>
          <w:highlight w:val="none"/>
        </w:rPr>
      </w:pPr>
    </w:p>
    <w:p>
      <w:pPr>
        <w:widowControl/>
        <w:adjustRightInd w:val="0"/>
        <w:snapToGrid w:val="0"/>
        <w:spacing w:after="200" w:line="500" w:lineRule="exact"/>
        <w:ind w:firstLine="4480" w:firstLineChars="1600"/>
        <w:jc w:val="left"/>
        <w:rPr>
          <w:rFonts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投标人（盖章）：</w:t>
      </w:r>
    </w:p>
    <w:p>
      <w:pPr>
        <w:widowControl/>
        <w:adjustRightInd w:val="0"/>
        <w:snapToGrid w:val="0"/>
        <w:spacing w:after="200" w:line="500" w:lineRule="exact"/>
        <w:ind w:firstLine="2805"/>
        <w:jc w:val="center"/>
        <w:rPr>
          <w:rFonts w:hint="eastAsia" w:ascii="仿宋" w:hAnsi="仿宋" w:eastAsia="仿宋" w:cs="仿宋"/>
          <w:sz w:val="28"/>
          <w:szCs w:val="28"/>
          <w:highlight w:val="none"/>
        </w:rPr>
      </w:pPr>
      <w:r>
        <w:rPr>
          <w:rFonts w:hint="eastAsia" w:ascii="仿宋" w:hAnsi="仿宋" w:eastAsia="仿宋" w:cs="仿宋"/>
          <w:sz w:val="28"/>
          <w:szCs w:val="28"/>
          <w:highlight w:val="none"/>
        </w:rPr>
        <w:t>法定代表人或投标代表（签字或盖章）：</w:t>
      </w:r>
    </w:p>
    <w:p>
      <w:pPr>
        <w:ind w:firstLine="4480" w:firstLineChars="1600"/>
      </w:pPr>
      <w:r>
        <w:rPr>
          <w:rFonts w:hint="eastAsia" w:ascii="仿宋" w:hAnsi="仿宋" w:eastAsia="仿宋" w:cs="仿宋"/>
          <w:sz w:val="28"/>
          <w:szCs w:val="28"/>
          <w:highlight w:val="none"/>
          <w:lang w:val="en-US" w:eastAsia="zh-CN"/>
        </w:rPr>
        <w:t>日期：    年   月   日</w:t>
      </w:r>
      <w:bookmarkStart w:id="0" w:name="_GoBack"/>
      <w:bookmarkEnd w:id="0"/>
    </w:p>
    <w:sectPr>
      <w:pgSz w:w="11905" w:h="16838"/>
      <w:pgMar w:top="1134" w:right="1134" w:bottom="1134" w:left="1134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FangSong_GB2312">
    <w:altName w:val="仿宋"/>
    <w:panose1 w:val="02010609060101010101"/>
    <w:charset w:val="86"/>
    <w:family w:val="modern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